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0DDD2A" w14:textId="6DB720B9"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817EDE">
        <w:t>5</w:t>
      </w:r>
      <w:r w:rsidR="00317B01">
        <w:t>bis</w:t>
      </w:r>
      <w:r w:rsidRPr="00CE0424">
        <w:tab/>
      </w:r>
      <w:r w:rsidRPr="00CE0424">
        <w:rPr>
          <w:sz w:val="32"/>
          <w:szCs w:val="32"/>
        </w:rPr>
        <w:t xml:space="preserve">Tdoc </w:t>
      </w:r>
      <w:r w:rsidR="00283A8F" w:rsidRPr="00283A8F">
        <w:rPr>
          <w:sz w:val="32"/>
          <w:szCs w:val="32"/>
        </w:rPr>
        <w:t>R2-166823</w:t>
      </w:r>
    </w:p>
    <w:p w14:paraId="08EA6602" w14:textId="77777777" w:rsidR="00EC60B5" w:rsidRDefault="00317B01" w:rsidP="00EC60B5">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w:t>
      </w:r>
      <w:r w:rsidR="00EC60B5">
        <w:rPr>
          <w:b/>
          <w:noProof/>
          <w:sz w:val="24"/>
        </w:rPr>
        <w:t>2016</w:t>
      </w:r>
    </w:p>
    <w:p w14:paraId="235814B9" w14:textId="77777777" w:rsidR="00E90E49" w:rsidRPr="00CE0424" w:rsidRDefault="00E90E49" w:rsidP="00357380">
      <w:pPr>
        <w:pStyle w:val="3GPPHeader"/>
      </w:pPr>
    </w:p>
    <w:p w14:paraId="051FC751" w14:textId="1A3828B7" w:rsidR="00E90E49" w:rsidRPr="00E0282A" w:rsidRDefault="00E90E49" w:rsidP="00311702">
      <w:pPr>
        <w:pStyle w:val="3GPPHeader"/>
        <w:rPr>
          <w:sz w:val="22"/>
          <w:szCs w:val="22"/>
          <w:lang w:val="en-US"/>
        </w:rPr>
      </w:pPr>
      <w:r w:rsidRPr="00E0282A">
        <w:rPr>
          <w:sz w:val="22"/>
          <w:szCs w:val="22"/>
          <w:lang w:val="en-US"/>
        </w:rPr>
        <w:t>Agenda Item:</w:t>
      </w:r>
      <w:r w:rsidRPr="00E0282A">
        <w:rPr>
          <w:sz w:val="22"/>
          <w:szCs w:val="22"/>
          <w:lang w:val="en-US"/>
        </w:rPr>
        <w:tab/>
      </w:r>
      <w:r w:rsidR="00E0282A" w:rsidRPr="00E0282A">
        <w:rPr>
          <w:sz w:val="22"/>
          <w:szCs w:val="22"/>
          <w:lang w:val="en-US"/>
        </w:rPr>
        <w:t>9.2.1.3</w:t>
      </w:r>
      <w:r w:rsidR="00E0282A">
        <w:rPr>
          <w:sz w:val="22"/>
          <w:szCs w:val="22"/>
          <w:lang w:val="en-US"/>
        </w:rPr>
        <w:t xml:space="preserve"> - </w:t>
      </w:r>
      <w:r w:rsidR="00E0282A" w:rsidRPr="00E0282A">
        <w:rPr>
          <w:sz w:val="22"/>
          <w:szCs w:val="22"/>
          <w:lang w:val="en-US"/>
        </w:rPr>
        <w:t>Other user plane aspects</w:t>
      </w:r>
    </w:p>
    <w:p w14:paraId="2F2E143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5C96442" w14:textId="250F6E34" w:rsidR="00E90E49" w:rsidRPr="00CE0424" w:rsidRDefault="003D3C45" w:rsidP="00311702">
      <w:pPr>
        <w:pStyle w:val="3GPPHeader"/>
        <w:rPr>
          <w:sz w:val="22"/>
          <w:szCs w:val="22"/>
        </w:rPr>
      </w:pPr>
      <w:r>
        <w:rPr>
          <w:sz w:val="22"/>
          <w:szCs w:val="22"/>
        </w:rPr>
        <w:t>Title:</w:t>
      </w:r>
      <w:r w:rsidR="00E90E49" w:rsidRPr="00CE0424">
        <w:rPr>
          <w:sz w:val="22"/>
          <w:szCs w:val="22"/>
        </w:rPr>
        <w:tab/>
      </w:r>
      <w:r w:rsidR="006E57BD">
        <w:rPr>
          <w:sz w:val="22"/>
          <w:szCs w:val="22"/>
        </w:rPr>
        <w:t>PDCP operation: SDU size and SN</w:t>
      </w:r>
    </w:p>
    <w:p w14:paraId="6A180440" w14:textId="7A084E13" w:rsidR="00E90E49" w:rsidRDefault="00E90E49" w:rsidP="00D546FF">
      <w:pPr>
        <w:pStyle w:val="3GPPHeader"/>
        <w:rPr>
          <w:sz w:val="22"/>
          <w:szCs w:val="22"/>
        </w:rPr>
      </w:pPr>
      <w:r w:rsidRPr="008A52DC">
        <w:rPr>
          <w:sz w:val="22"/>
          <w:szCs w:val="22"/>
        </w:rPr>
        <w:t>Document for:</w:t>
      </w:r>
      <w:r w:rsidRPr="008A52DC">
        <w:rPr>
          <w:sz w:val="22"/>
          <w:szCs w:val="22"/>
        </w:rPr>
        <w:tab/>
        <w:t>Discussion, Decision</w:t>
      </w:r>
    </w:p>
    <w:p w14:paraId="2BA81721" w14:textId="77777777" w:rsidR="00283A8F" w:rsidRPr="00CE0424" w:rsidRDefault="00283A8F" w:rsidP="00D546FF">
      <w:pPr>
        <w:pStyle w:val="3GPPHeader"/>
        <w:rPr>
          <w:sz w:val="22"/>
          <w:szCs w:val="22"/>
        </w:rPr>
      </w:pPr>
      <w:bookmarkStart w:id="0" w:name="_GoBack"/>
      <w:bookmarkEnd w:id="0"/>
    </w:p>
    <w:p w14:paraId="4EDAAE15" w14:textId="46514EB6" w:rsidR="0029315F" w:rsidRPr="009A1669" w:rsidRDefault="00E90E49" w:rsidP="009A1669">
      <w:pPr>
        <w:pStyle w:val="Heading1"/>
      </w:pPr>
      <w:r w:rsidRPr="00CE0424">
        <w:t>Introduction</w:t>
      </w:r>
    </w:p>
    <w:p w14:paraId="5CDF27FB" w14:textId="538F07C8" w:rsidR="00D3005B" w:rsidRPr="00CE0424" w:rsidRDefault="006E57BD" w:rsidP="00CE0424">
      <w:pPr>
        <w:pStyle w:val="BodyText"/>
      </w:pPr>
      <w:r>
        <w:t>This contribution looks at the PDCP SDU size and the PDCP sequence number length.</w:t>
      </w:r>
    </w:p>
    <w:p w14:paraId="780DAB89" w14:textId="16A266F6" w:rsidR="001643A8" w:rsidRDefault="004000E8" w:rsidP="00CE0424">
      <w:pPr>
        <w:pStyle w:val="Heading1"/>
      </w:pPr>
      <w:bookmarkStart w:id="1" w:name="_Ref178064866"/>
      <w:r w:rsidRPr="00CE0424">
        <w:t>Discussion</w:t>
      </w:r>
      <w:bookmarkEnd w:id="1"/>
    </w:p>
    <w:p w14:paraId="2E0F5F82" w14:textId="5C037DBB" w:rsidR="00FC4077" w:rsidRDefault="00FC4077" w:rsidP="00CC2E61">
      <w:pPr>
        <w:pStyle w:val="Heading2"/>
      </w:pPr>
      <w:r>
        <w:t>PDCP SDU size</w:t>
      </w:r>
    </w:p>
    <w:p w14:paraId="41B3AC89" w14:textId="107CAFBF" w:rsidR="0090708B" w:rsidRDefault="00FC4077">
      <w:r>
        <w:t xml:space="preserve">Ethernet standard frames may carry up to </w:t>
      </w:r>
      <w:r w:rsidR="009D0B41">
        <w:t xml:space="preserve">a payload of </w:t>
      </w:r>
      <w:r>
        <w:t>1500 bytes. However,</w:t>
      </w:r>
      <w:r w:rsidR="0090708B">
        <w:t xml:space="preserve"> larger sizes are starting to be adopted. “jumbo frames” and “super jumbo frames” are the two examples of the frames that are/may be adopted. “Jumbo frames” can go up to 9000 bytes while “super jumbo frames” can go up to </w:t>
      </w:r>
      <w:r w:rsidR="00ED7B11">
        <w:t>~</w:t>
      </w:r>
      <w:r w:rsidR="0090708B">
        <w:t>64000 bytes.</w:t>
      </w:r>
    </w:p>
    <w:p w14:paraId="31571C50" w14:textId="77777777" w:rsidR="00AC158E" w:rsidRDefault="0090708B">
      <w:r>
        <w:t xml:space="preserve">Currently, PDCP can only carry PDCP </w:t>
      </w:r>
      <w:r w:rsidR="00CB3C61">
        <w:t>SDUs up to 8188</w:t>
      </w:r>
      <w:r>
        <w:t xml:space="preserve"> bytes. It would, then, be natural to increase this size up to </w:t>
      </w:r>
      <w:r w:rsidR="00CB3C61">
        <w:t>~</w:t>
      </w:r>
      <w:r>
        <w:t xml:space="preserve">64KB too to cope with the </w:t>
      </w:r>
      <w:r w:rsidR="00BB6EAA">
        <w:t>future</w:t>
      </w:r>
      <w:r>
        <w:t xml:space="preserve"> frame sizes.</w:t>
      </w:r>
    </w:p>
    <w:p w14:paraId="79E87D7B" w14:textId="0AB17F92" w:rsidR="00AC158E" w:rsidRDefault="00AC158E">
      <w:r>
        <w:t>Current specifications have a PDCP PDU header length of at most 3 bytes for data bearers (not considering feedback formats). This means, therefore, that the PDCP SDU size should be (PDCP PDU size Bytes – 3 Byes). If a PDCP PDU size of 65536 bytes is agreed (2^16), then the PDCP SDU should be 65533 bytes.</w:t>
      </w:r>
    </w:p>
    <w:p w14:paraId="7828520B" w14:textId="77777777" w:rsidR="00ED7B11" w:rsidRDefault="00ED7B11"/>
    <w:p w14:paraId="2EB1F30B" w14:textId="631E7318" w:rsidR="0090708B" w:rsidRPr="001F1E3E" w:rsidRDefault="0090708B" w:rsidP="00CC2E61">
      <w:pPr>
        <w:pStyle w:val="Proposal"/>
      </w:pPr>
      <w:bookmarkStart w:id="2" w:name="_Toc462315877"/>
      <w:bookmarkStart w:id="3" w:name="_Toc462412180"/>
      <w:bookmarkStart w:id="4" w:name="_Toc462639136"/>
      <w:bookmarkStart w:id="5" w:name="_Toc462997234"/>
      <w:r>
        <w:t xml:space="preserve">PDCP should support PDCP </w:t>
      </w:r>
      <w:r w:rsidR="000E7502">
        <w:t>S</w:t>
      </w:r>
      <w:r>
        <w:t>DU sizes of up to</w:t>
      </w:r>
      <w:r w:rsidR="00CB3C61">
        <w:t xml:space="preserve"> 6553</w:t>
      </w:r>
      <w:r w:rsidR="000E7502">
        <w:t>3</w:t>
      </w:r>
      <w:r w:rsidR="00CB3C61">
        <w:t xml:space="preserve"> bytes </w:t>
      </w:r>
      <w:r w:rsidR="000E7502">
        <w:t>(considering 3 bytes of PDCP headers)</w:t>
      </w:r>
      <w:bookmarkEnd w:id="2"/>
      <w:bookmarkEnd w:id="3"/>
      <w:bookmarkEnd w:id="4"/>
      <w:bookmarkEnd w:id="5"/>
    </w:p>
    <w:p w14:paraId="1E9ED4D0" w14:textId="77777777" w:rsidR="002B4C0A" w:rsidRDefault="002B4C0A" w:rsidP="00691DE2"/>
    <w:p w14:paraId="53521E5C" w14:textId="6088B19E" w:rsidR="00691DE2" w:rsidRDefault="00691DE2" w:rsidP="00691DE2">
      <w:pPr>
        <w:pStyle w:val="Heading2"/>
      </w:pPr>
      <w:r>
        <w:t>PDCP Sequence Number</w:t>
      </w:r>
    </w:p>
    <w:p w14:paraId="012A038A" w14:textId="3DAC1F0D" w:rsidR="001473B9" w:rsidRDefault="001473B9" w:rsidP="001473B9">
      <w:pPr>
        <w:rPr>
          <w:lang w:val="en-US"/>
        </w:rPr>
      </w:pPr>
      <w:r>
        <w:rPr>
          <w:lang w:val="en-US"/>
        </w:rPr>
        <w:t xml:space="preserve">In Rel13, </w:t>
      </w:r>
      <w:r w:rsidR="00D515C5">
        <w:rPr>
          <w:lang w:val="en-US"/>
        </w:rPr>
        <w:t xml:space="preserve">3GPP introduced </w:t>
      </w:r>
      <w:r>
        <w:rPr>
          <w:lang w:val="en-US"/>
        </w:rPr>
        <w:t xml:space="preserve">Further enhancement of Carrier Aggregation (FeCA), which is also referred to as massive carrier aggregation or carrier aggregation beyond 5 carriers. For FeCA, up to 32 component carriers (CC) can be aggregated, which means up to 640 MHz bandwidth and up to 25 Gbps peak rate in air interface. The PDCP SN space </w:t>
      </w:r>
      <w:r w:rsidR="00D515C5">
        <w:rPr>
          <w:lang w:val="en-US"/>
        </w:rPr>
        <w:t xml:space="preserve">was </w:t>
      </w:r>
      <w:r>
        <w:rPr>
          <w:lang w:val="en-US"/>
        </w:rPr>
        <w:t>extended from 15 bits to 18 bits [1] to meet the high capacity. It has been assumed that the PDCP RTT is 50 ms, the supportable data rate by PDCP increases from ~4 (1500 * 8 * 2^(15-1) / 0.050 / 1e9) Gbps to ~31 (1500 * 8 * 2^(18-1) / 0.050 / 1e9) Gbps</w:t>
      </w:r>
      <w:r w:rsidR="00D515C5">
        <w:rPr>
          <w:lang w:val="en-US"/>
        </w:rPr>
        <w:t>.</w:t>
      </w:r>
    </w:p>
    <w:p w14:paraId="0E352EDB" w14:textId="062FDE55" w:rsidR="00D515C5" w:rsidRDefault="001473B9" w:rsidP="001473B9">
      <w:pPr>
        <w:rPr>
          <w:lang w:val="en-US"/>
        </w:rPr>
      </w:pPr>
      <w:r>
        <w:rPr>
          <w:lang w:val="en-US"/>
        </w:rPr>
        <w:t xml:space="preserve">The </w:t>
      </w:r>
      <w:r w:rsidR="00C733B9">
        <w:rPr>
          <w:lang w:val="en-US"/>
        </w:rPr>
        <w:t>same</w:t>
      </w:r>
      <w:r>
        <w:rPr>
          <w:lang w:val="en-US"/>
        </w:rPr>
        <w:t xml:space="preserve"> methodology can be used to evaluate </w:t>
      </w:r>
      <w:r w:rsidR="00D515C5">
        <w:rPr>
          <w:lang w:val="en-US"/>
        </w:rPr>
        <w:t>the PDCP SN length</w:t>
      </w:r>
      <w:r>
        <w:rPr>
          <w:lang w:val="en-US"/>
        </w:rPr>
        <w:t xml:space="preserve"> </w:t>
      </w:r>
      <w:r w:rsidR="00D515C5">
        <w:rPr>
          <w:lang w:val="en-US"/>
        </w:rPr>
        <w:t xml:space="preserve">needed for </w:t>
      </w:r>
      <w:r>
        <w:rPr>
          <w:lang w:val="en-US"/>
        </w:rPr>
        <w:t xml:space="preserve">NR. In order to determine the PDCP SN </w:t>
      </w:r>
      <w:r w:rsidR="00D515C5">
        <w:rPr>
          <w:lang w:val="en-US"/>
        </w:rPr>
        <w:t>length</w:t>
      </w:r>
      <w:r>
        <w:rPr>
          <w:lang w:val="en-US"/>
        </w:rPr>
        <w:t xml:space="preserve">, </w:t>
      </w:r>
      <w:r w:rsidR="00D515C5">
        <w:rPr>
          <w:lang w:val="en-US"/>
        </w:rPr>
        <w:t>the following parameters need to be set: PDCP RTT, maximum bit rate, and PDCP PDU size.</w:t>
      </w:r>
    </w:p>
    <w:p w14:paraId="3B2088B0" w14:textId="0E3FB510" w:rsidR="00D515C5" w:rsidRDefault="00D515C5" w:rsidP="001473B9">
      <w:pPr>
        <w:rPr>
          <w:lang w:val="en-US"/>
        </w:rPr>
      </w:pPr>
      <w:r>
        <w:rPr>
          <w:lang w:val="en-US"/>
        </w:rPr>
        <w:t xml:space="preserve">The PDCP RTT is compound of </w:t>
      </w:r>
      <w:r w:rsidR="00F15435">
        <w:rPr>
          <w:lang w:val="en-US"/>
        </w:rPr>
        <w:t>three</w:t>
      </w:r>
      <w:r>
        <w:rPr>
          <w:lang w:val="en-US"/>
        </w:rPr>
        <w:t xml:space="preserve"> part</w:t>
      </w:r>
      <w:r w:rsidR="008339A4">
        <w:rPr>
          <w:lang w:val="en-US"/>
        </w:rPr>
        <w:t>s</w:t>
      </w:r>
      <w:r>
        <w:rPr>
          <w:lang w:val="en-US"/>
        </w:rPr>
        <w:t>: the delay of HARQ retransmissions, MAC/RLC delay, and the transport network delay.</w:t>
      </w:r>
      <w:r w:rsidR="00C733B9">
        <w:rPr>
          <w:lang w:val="en-US"/>
        </w:rPr>
        <w:t xml:space="preserve"> </w:t>
      </w:r>
      <w:r w:rsidR="000E7502">
        <w:rPr>
          <w:lang w:val="en-US"/>
        </w:rPr>
        <w:t>In the examples shown in the tables below, the PDCP RTT are 30 ms and 50 ms</w:t>
      </w:r>
    </w:p>
    <w:p w14:paraId="0F331E58" w14:textId="1028F827" w:rsidR="00C733B9" w:rsidRDefault="00C733B9" w:rsidP="001473B9">
      <w:pPr>
        <w:rPr>
          <w:lang w:val="en-US"/>
        </w:rPr>
      </w:pPr>
      <w:r>
        <w:rPr>
          <w:lang w:val="en-US"/>
        </w:rPr>
        <w:t xml:space="preserve">The PDCP PDU sizes may vary depending on the application. IP </w:t>
      </w:r>
      <w:r w:rsidR="000E7502">
        <w:rPr>
          <w:lang w:val="en-US"/>
        </w:rPr>
        <w:t xml:space="preserve">typically </w:t>
      </w:r>
      <w:r>
        <w:rPr>
          <w:lang w:val="en-US"/>
        </w:rPr>
        <w:t>delivers 1500 bytes, while PDCP can support up to 8190 bytes (PDCP PDU)</w:t>
      </w:r>
      <w:r w:rsidR="00A2190B">
        <w:rPr>
          <w:lang w:val="en-US"/>
        </w:rPr>
        <w:t xml:space="preserve">, similar </w:t>
      </w:r>
      <w:r w:rsidR="00ED7B11">
        <w:rPr>
          <w:lang w:val="en-US"/>
        </w:rPr>
        <w:t xml:space="preserve">size </w:t>
      </w:r>
      <w:r w:rsidR="00A2190B">
        <w:rPr>
          <w:lang w:val="en-US"/>
        </w:rPr>
        <w:t>to the jumbo frame size</w:t>
      </w:r>
      <w:r w:rsidR="00416924">
        <w:rPr>
          <w:lang w:val="en-US"/>
        </w:rPr>
        <w:t>.</w:t>
      </w:r>
      <w:r w:rsidR="000E7502">
        <w:rPr>
          <w:lang w:val="en-US"/>
        </w:rPr>
        <w:t xml:space="preserve"> </w:t>
      </w:r>
    </w:p>
    <w:p w14:paraId="348C6202" w14:textId="19717266" w:rsidR="0040520F" w:rsidRDefault="0040520F" w:rsidP="001473B9">
      <w:pPr>
        <w:rPr>
          <w:lang w:val="en-US"/>
        </w:rPr>
      </w:pPr>
    </w:p>
    <w:p w14:paraId="011AA52C" w14:textId="3757D74E" w:rsidR="004009CB" w:rsidRDefault="004009CB" w:rsidP="00CC2E61">
      <w:pPr>
        <w:pStyle w:val="Caption"/>
      </w:pPr>
      <w:bookmarkStart w:id="6" w:name="_Ref462221945"/>
      <w:r>
        <w:lastRenderedPageBreak/>
        <w:t xml:space="preserve">Table </w:t>
      </w:r>
      <w:r w:rsidR="000E7502">
        <w:fldChar w:fldCharType="begin"/>
      </w:r>
      <w:r w:rsidR="000E7502">
        <w:instrText xml:space="preserve"> SEQ Table \* ARABIC </w:instrText>
      </w:r>
      <w:r w:rsidR="000E7502">
        <w:fldChar w:fldCharType="separate"/>
      </w:r>
      <w:r w:rsidR="000E7502">
        <w:rPr>
          <w:noProof/>
        </w:rPr>
        <w:t>1</w:t>
      </w:r>
      <w:r w:rsidR="000E7502">
        <w:fldChar w:fldCharType="end"/>
      </w:r>
      <w:bookmarkEnd w:id="6"/>
      <w:r>
        <w:tab/>
        <w:t>PDCP bit rates (Gbps) for different PDCP PDU sizes and SN lengths</w:t>
      </w:r>
      <w:r w:rsidR="000E7502">
        <w:t xml:space="preserve"> for RTT = 30 ms</w:t>
      </w:r>
    </w:p>
    <w:tbl>
      <w:tblPr>
        <w:tblW w:w="7797" w:type="dxa"/>
        <w:jc w:val="center"/>
        <w:tblLook w:val="04A0" w:firstRow="1" w:lastRow="0" w:firstColumn="1" w:lastColumn="0" w:noHBand="0" w:noVBand="1"/>
      </w:tblPr>
      <w:tblGrid>
        <w:gridCol w:w="1660"/>
        <w:gridCol w:w="892"/>
        <w:gridCol w:w="1417"/>
        <w:gridCol w:w="1276"/>
        <w:gridCol w:w="1276"/>
        <w:gridCol w:w="1276"/>
      </w:tblGrid>
      <w:tr w:rsidR="000E7502" w:rsidRPr="000E7502" w14:paraId="75D104DE" w14:textId="77777777" w:rsidTr="008A52DC">
        <w:trPr>
          <w:trHeight w:val="300"/>
          <w:jc w:val="center"/>
        </w:trPr>
        <w:tc>
          <w:tcPr>
            <w:tcW w:w="1660" w:type="dxa"/>
            <w:tcBorders>
              <w:top w:val="nil"/>
              <w:left w:val="nil"/>
              <w:bottom w:val="nil"/>
              <w:right w:val="nil"/>
            </w:tcBorders>
            <w:shd w:val="clear" w:color="000000" w:fill="FFFFFF"/>
            <w:noWrap/>
            <w:vAlign w:val="bottom"/>
            <w:hideMark/>
          </w:tcPr>
          <w:p w14:paraId="2D8D0D1B"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892" w:type="dxa"/>
            <w:tcBorders>
              <w:top w:val="nil"/>
              <w:left w:val="nil"/>
              <w:bottom w:val="nil"/>
              <w:right w:val="nil"/>
            </w:tcBorders>
            <w:shd w:val="clear" w:color="000000" w:fill="FFFFFF"/>
            <w:noWrap/>
            <w:vAlign w:val="bottom"/>
            <w:hideMark/>
          </w:tcPr>
          <w:p w14:paraId="173C8BB2"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5245" w:type="dxa"/>
            <w:gridSpan w:val="4"/>
            <w:tcBorders>
              <w:top w:val="nil"/>
              <w:left w:val="nil"/>
              <w:bottom w:val="nil"/>
              <w:right w:val="nil"/>
            </w:tcBorders>
            <w:shd w:val="clear" w:color="000000" w:fill="A6A6A6"/>
            <w:noWrap/>
            <w:vAlign w:val="bottom"/>
            <w:hideMark/>
          </w:tcPr>
          <w:p w14:paraId="08C7D8B3"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PDCP SN length (bits)</w:t>
            </w:r>
          </w:p>
        </w:tc>
      </w:tr>
      <w:tr w:rsidR="000E7502" w:rsidRPr="000E7502" w14:paraId="275A61BB" w14:textId="77777777" w:rsidTr="008A52DC">
        <w:trPr>
          <w:trHeight w:val="315"/>
          <w:jc w:val="center"/>
        </w:trPr>
        <w:tc>
          <w:tcPr>
            <w:tcW w:w="1660" w:type="dxa"/>
            <w:tcBorders>
              <w:top w:val="nil"/>
              <w:left w:val="nil"/>
              <w:bottom w:val="nil"/>
              <w:right w:val="nil"/>
            </w:tcBorders>
            <w:shd w:val="clear" w:color="auto" w:fill="auto"/>
            <w:noWrap/>
            <w:vAlign w:val="bottom"/>
            <w:hideMark/>
          </w:tcPr>
          <w:p w14:paraId="6EB4C18A"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p>
        </w:tc>
        <w:tc>
          <w:tcPr>
            <w:tcW w:w="892" w:type="dxa"/>
            <w:tcBorders>
              <w:top w:val="nil"/>
              <w:left w:val="nil"/>
              <w:bottom w:val="nil"/>
              <w:right w:val="nil"/>
            </w:tcBorders>
            <w:shd w:val="clear" w:color="000000" w:fill="FFFFFF"/>
            <w:noWrap/>
            <w:vAlign w:val="bottom"/>
            <w:hideMark/>
          </w:tcPr>
          <w:p w14:paraId="2771C5F1"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1417" w:type="dxa"/>
            <w:tcBorders>
              <w:top w:val="nil"/>
              <w:left w:val="nil"/>
              <w:bottom w:val="single" w:sz="12" w:space="0" w:color="FFFFFF"/>
              <w:right w:val="nil"/>
            </w:tcBorders>
            <w:shd w:val="clear" w:color="000000" w:fill="C65911"/>
            <w:noWrap/>
            <w:vAlign w:val="bottom"/>
            <w:hideMark/>
          </w:tcPr>
          <w:p w14:paraId="52C37D4D"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7</w:t>
            </w:r>
          </w:p>
        </w:tc>
        <w:tc>
          <w:tcPr>
            <w:tcW w:w="1276" w:type="dxa"/>
            <w:tcBorders>
              <w:top w:val="nil"/>
              <w:left w:val="nil"/>
              <w:bottom w:val="single" w:sz="12" w:space="0" w:color="FFFFFF"/>
              <w:right w:val="nil"/>
            </w:tcBorders>
            <w:shd w:val="clear" w:color="000000" w:fill="C65911"/>
            <w:noWrap/>
            <w:vAlign w:val="bottom"/>
            <w:hideMark/>
          </w:tcPr>
          <w:p w14:paraId="30AAC924"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12</w:t>
            </w:r>
          </w:p>
        </w:tc>
        <w:tc>
          <w:tcPr>
            <w:tcW w:w="1276" w:type="dxa"/>
            <w:tcBorders>
              <w:top w:val="nil"/>
              <w:left w:val="nil"/>
              <w:bottom w:val="single" w:sz="12" w:space="0" w:color="FFFFFF"/>
              <w:right w:val="nil"/>
            </w:tcBorders>
            <w:shd w:val="clear" w:color="000000" w:fill="C65911"/>
            <w:noWrap/>
            <w:vAlign w:val="bottom"/>
            <w:hideMark/>
          </w:tcPr>
          <w:p w14:paraId="22F33F93"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15</w:t>
            </w:r>
          </w:p>
        </w:tc>
        <w:tc>
          <w:tcPr>
            <w:tcW w:w="1276" w:type="dxa"/>
            <w:tcBorders>
              <w:top w:val="nil"/>
              <w:left w:val="nil"/>
              <w:bottom w:val="single" w:sz="12" w:space="0" w:color="FFFFFF"/>
              <w:right w:val="nil"/>
            </w:tcBorders>
            <w:shd w:val="clear" w:color="000000" w:fill="C65911"/>
            <w:noWrap/>
            <w:vAlign w:val="bottom"/>
            <w:hideMark/>
          </w:tcPr>
          <w:p w14:paraId="68DAA78B"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18</w:t>
            </w:r>
          </w:p>
        </w:tc>
      </w:tr>
      <w:tr w:rsidR="008A52DC" w:rsidRPr="000E7502" w14:paraId="3DC6B2D9" w14:textId="77777777" w:rsidTr="008A52DC">
        <w:trPr>
          <w:trHeight w:val="315"/>
          <w:jc w:val="center"/>
        </w:trPr>
        <w:tc>
          <w:tcPr>
            <w:tcW w:w="1660" w:type="dxa"/>
            <w:vMerge w:val="restart"/>
            <w:tcBorders>
              <w:top w:val="nil"/>
              <w:left w:val="nil"/>
              <w:bottom w:val="nil"/>
              <w:right w:val="nil"/>
            </w:tcBorders>
            <w:shd w:val="clear" w:color="000000" w:fill="808080"/>
            <w:noWrap/>
            <w:vAlign w:val="center"/>
            <w:hideMark/>
          </w:tcPr>
          <w:p w14:paraId="5163FB6E"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PDCP PDU (bytes)</w:t>
            </w:r>
          </w:p>
        </w:tc>
        <w:tc>
          <w:tcPr>
            <w:tcW w:w="892" w:type="dxa"/>
            <w:tcBorders>
              <w:top w:val="nil"/>
              <w:left w:val="nil"/>
              <w:bottom w:val="nil"/>
              <w:right w:val="single" w:sz="12" w:space="0" w:color="FFFFFF"/>
            </w:tcBorders>
            <w:shd w:val="clear" w:color="000000" w:fill="F8CBAD"/>
            <w:noWrap/>
            <w:vAlign w:val="bottom"/>
            <w:hideMark/>
          </w:tcPr>
          <w:p w14:paraId="03B18328"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512</w:t>
            </w:r>
          </w:p>
        </w:tc>
        <w:tc>
          <w:tcPr>
            <w:tcW w:w="1417" w:type="dxa"/>
            <w:tcBorders>
              <w:top w:val="nil"/>
              <w:left w:val="nil"/>
              <w:bottom w:val="nil"/>
              <w:right w:val="nil"/>
            </w:tcBorders>
            <w:shd w:val="clear" w:color="000000" w:fill="9BC2E6"/>
            <w:noWrap/>
            <w:vAlign w:val="bottom"/>
            <w:hideMark/>
          </w:tcPr>
          <w:p w14:paraId="4C0140FD" w14:textId="190D10A1"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0,008</w:t>
            </w:r>
          </w:p>
        </w:tc>
        <w:tc>
          <w:tcPr>
            <w:tcW w:w="1276" w:type="dxa"/>
            <w:tcBorders>
              <w:top w:val="nil"/>
              <w:left w:val="nil"/>
              <w:bottom w:val="nil"/>
              <w:right w:val="nil"/>
            </w:tcBorders>
            <w:shd w:val="clear" w:color="000000" w:fill="FFE699"/>
            <w:noWrap/>
            <w:vAlign w:val="bottom"/>
            <w:hideMark/>
          </w:tcPr>
          <w:p w14:paraId="6727113C" w14:textId="2543AFA8"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w:t>
            </w:r>
            <w:r w:rsidR="008D08A2" w:rsidRPr="000E7502">
              <w:rPr>
                <w:rFonts w:ascii="Calibri" w:eastAsia="Times New Roman" w:hAnsi="Calibri"/>
                <w:color w:val="000000"/>
                <w:sz w:val="22"/>
                <w:szCs w:val="22"/>
                <w:lang w:val="en-US" w:eastAsia="en-US"/>
              </w:rPr>
              <w:t>2</w:t>
            </w:r>
            <w:r w:rsidR="008D08A2">
              <w:rPr>
                <w:rFonts w:ascii="Calibri" w:eastAsia="Times New Roman" w:hAnsi="Calibri"/>
                <w:color w:val="000000"/>
                <w:sz w:val="22"/>
                <w:szCs w:val="22"/>
                <w:lang w:val="en-US" w:eastAsia="en-US"/>
              </w:rPr>
              <w:t>8</w:t>
            </w:r>
          </w:p>
        </w:tc>
        <w:tc>
          <w:tcPr>
            <w:tcW w:w="1276" w:type="dxa"/>
            <w:tcBorders>
              <w:top w:val="nil"/>
              <w:left w:val="nil"/>
              <w:bottom w:val="nil"/>
              <w:right w:val="nil"/>
            </w:tcBorders>
            <w:shd w:val="clear" w:color="000000" w:fill="A9D08E"/>
            <w:noWrap/>
            <w:vAlign w:val="bottom"/>
            <w:hideMark/>
          </w:tcPr>
          <w:p w14:paraId="60CD1724" w14:textId="30B6783B"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2,</w:t>
            </w:r>
            <w:r w:rsidR="008D08A2" w:rsidRPr="000E7502">
              <w:rPr>
                <w:rFonts w:ascii="Calibri" w:eastAsia="Times New Roman" w:hAnsi="Calibri"/>
                <w:color w:val="000000"/>
                <w:sz w:val="22"/>
                <w:szCs w:val="22"/>
                <w:lang w:val="en-US" w:eastAsia="en-US"/>
              </w:rPr>
              <w:t>2</w:t>
            </w:r>
            <w:r w:rsidR="008D08A2">
              <w:rPr>
                <w:rFonts w:ascii="Calibri" w:eastAsia="Times New Roman" w:hAnsi="Calibri"/>
                <w:color w:val="000000"/>
                <w:sz w:val="22"/>
                <w:szCs w:val="22"/>
                <w:lang w:val="en-US" w:eastAsia="en-US"/>
              </w:rPr>
              <w:t>4</w:t>
            </w:r>
          </w:p>
        </w:tc>
        <w:tc>
          <w:tcPr>
            <w:tcW w:w="1276" w:type="dxa"/>
            <w:tcBorders>
              <w:top w:val="nil"/>
              <w:left w:val="nil"/>
              <w:bottom w:val="nil"/>
              <w:right w:val="nil"/>
            </w:tcBorders>
            <w:shd w:val="clear" w:color="000000" w:fill="FFC000"/>
            <w:noWrap/>
            <w:vAlign w:val="bottom"/>
            <w:hideMark/>
          </w:tcPr>
          <w:p w14:paraId="36FDB2F2" w14:textId="632F2BC0"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17,</w:t>
            </w:r>
            <w:r w:rsidR="008D08A2">
              <w:rPr>
                <w:rFonts w:ascii="Calibri" w:eastAsia="Times New Roman" w:hAnsi="Calibri"/>
                <w:color w:val="000000"/>
                <w:sz w:val="22"/>
                <w:szCs w:val="22"/>
                <w:lang w:val="en-US" w:eastAsia="en-US"/>
              </w:rPr>
              <w:t>9</w:t>
            </w:r>
          </w:p>
        </w:tc>
      </w:tr>
      <w:tr w:rsidR="008A52DC" w:rsidRPr="000E7502" w14:paraId="3E4DA9B1" w14:textId="77777777" w:rsidTr="008A52DC">
        <w:trPr>
          <w:trHeight w:val="300"/>
          <w:jc w:val="center"/>
        </w:trPr>
        <w:tc>
          <w:tcPr>
            <w:tcW w:w="1660" w:type="dxa"/>
            <w:vMerge/>
            <w:tcBorders>
              <w:top w:val="nil"/>
              <w:left w:val="nil"/>
              <w:bottom w:val="nil"/>
              <w:right w:val="nil"/>
            </w:tcBorders>
            <w:vAlign w:val="center"/>
            <w:hideMark/>
          </w:tcPr>
          <w:p w14:paraId="0AC80CDF"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892" w:type="dxa"/>
            <w:tcBorders>
              <w:top w:val="nil"/>
              <w:left w:val="nil"/>
              <w:bottom w:val="nil"/>
              <w:right w:val="single" w:sz="12" w:space="0" w:color="FFFFFF"/>
            </w:tcBorders>
            <w:shd w:val="clear" w:color="000000" w:fill="F8CBAD"/>
            <w:noWrap/>
            <w:vAlign w:val="bottom"/>
            <w:hideMark/>
          </w:tcPr>
          <w:p w14:paraId="37A278EA"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1502</w:t>
            </w:r>
          </w:p>
        </w:tc>
        <w:tc>
          <w:tcPr>
            <w:tcW w:w="1417" w:type="dxa"/>
            <w:tcBorders>
              <w:top w:val="nil"/>
              <w:left w:val="nil"/>
              <w:bottom w:val="nil"/>
              <w:right w:val="nil"/>
            </w:tcBorders>
            <w:shd w:val="clear" w:color="000000" w:fill="9BC2E6"/>
            <w:noWrap/>
            <w:vAlign w:val="bottom"/>
            <w:hideMark/>
          </w:tcPr>
          <w:p w14:paraId="6F0581CC" w14:textId="23AE470F"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0,025</w:t>
            </w:r>
          </w:p>
        </w:tc>
        <w:tc>
          <w:tcPr>
            <w:tcW w:w="1276" w:type="dxa"/>
            <w:tcBorders>
              <w:top w:val="nil"/>
              <w:left w:val="nil"/>
              <w:bottom w:val="nil"/>
              <w:right w:val="nil"/>
            </w:tcBorders>
            <w:shd w:val="clear" w:color="000000" w:fill="FFE699"/>
            <w:noWrap/>
            <w:vAlign w:val="bottom"/>
            <w:hideMark/>
          </w:tcPr>
          <w:p w14:paraId="41515251" w14:textId="6FE8C9E9"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0,82</w:t>
            </w:r>
          </w:p>
        </w:tc>
        <w:tc>
          <w:tcPr>
            <w:tcW w:w="1276" w:type="dxa"/>
            <w:tcBorders>
              <w:top w:val="nil"/>
              <w:left w:val="nil"/>
              <w:bottom w:val="nil"/>
              <w:right w:val="nil"/>
            </w:tcBorders>
            <w:shd w:val="clear" w:color="000000" w:fill="A9D08E"/>
            <w:noWrap/>
            <w:vAlign w:val="bottom"/>
            <w:hideMark/>
          </w:tcPr>
          <w:p w14:paraId="67CFB3C8" w14:textId="5096EA14"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6,56</w:t>
            </w:r>
          </w:p>
        </w:tc>
        <w:tc>
          <w:tcPr>
            <w:tcW w:w="1276" w:type="dxa"/>
            <w:tcBorders>
              <w:top w:val="nil"/>
              <w:left w:val="nil"/>
              <w:bottom w:val="nil"/>
              <w:right w:val="nil"/>
            </w:tcBorders>
            <w:shd w:val="clear" w:color="000000" w:fill="FFC000"/>
            <w:noWrap/>
            <w:vAlign w:val="bottom"/>
            <w:hideMark/>
          </w:tcPr>
          <w:p w14:paraId="2630EF00" w14:textId="489ED39D"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52,</w:t>
            </w:r>
            <w:r w:rsidR="008D08A2">
              <w:rPr>
                <w:rFonts w:ascii="Calibri" w:eastAsia="Times New Roman" w:hAnsi="Calibri"/>
                <w:color w:val="000000"/>
                <w:sz w:val="22"/>
                <w:szCs w:val="22"/>
                <w:lang w:val="en-US" w:eastAsia="en-US"/>
              </w:rPr>
              <w:t>5</w:t>
            </w:r>
          </w:p>
        </w:tc>
      </w:tr>
      <w:tr w:rsidR="008A52DC" w:rsidRPr="000E7502" w14:paraId="78935545" w14:textId="77777777" w:rsidTr="008A52DC">
        <w:trPr>
          <w:trHeight w:val="300"/>
          <w:jc w:val="center"/>
        </w:trPr>
        <w:tc>
          <w:tcPr>
            <w:tcW w:w="1660" w:type="dxa"/>
            <w:vMerge/>
            <w:tcBorders>
              <w:top w:val="nil"/>
              <w:left w:val="nil"/>
              <w:bottom w:val="nil"/>
              <w:right w:val="nil"/>
            </w:tcBorders>
            <w:vAlign w:val="center"/>
            <w:hideMark/>
          </w:tcPr>
          <w:p w14:paraId="4473CB36"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892" w:type="dxa"/>
            <w:tcBorders>
              <w:top w:val="nil"/>
              <w:left w:val="nil"/>
              <w:bottom w:val="nil"/>
              <w:right w:val="single" w:sz="12" w:space="0" w:color="FFFFFF"/>
            </w:tcBorders>
            <w:shd w:val="clear" w:color="000000" w:fill="F8CBAD"/>
            <w:noWrap/>
            <w:vAlign w:val="bottom"/>
            <w:hideMark/>
          </w:tcPr>
          <w:p w14:paraId="29479D47"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8190</w:t>
            </w:r>
          </w:p>
        </w:tc>
        <w:tc>
          <w:tcPr>
            <w:tcW w:w="1417" w:type="dxa"/>
            <w:tcBorders>
              <w:top w:val="nil"/>
              <w:left w:val="nil"/>
              <w:bottom w:val="nil"/>
              <w:right w:val="nil"/>
            </w:tcBorders>
            <w:shd w:val="clear" w:color="000000" w:fill="9BC2E6"/>
            <w:noWrap/>
            <w:vAlign w:val="bottom"/>
            <w:hideMark/>
          </w:tcPr>
          <w:p w14:paraId="3B696B49" w14:textId="1028F96B"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0,139</w:t>
            </w:r>
          </w:p>
        </w:tc>
        <w:tc>
          <w:tcPr>
            <w:tcW w:w="1276" w:type="dxa"/>
            <w:tcBorders>
              <w:top w:val="nil"/>
              <w:left w:val="nil"/>
              <w:bottom w:val="nil"/>
              <w:right w:val="nil"/>
            </w:tcBorders>
            <w:shd w:val="clear" w:color="000000" w:fill="FFE699"/>
            <w:noWrap/>
            <w:vAlign w:val="bottom"/>
            <w:hideMark/>
          </w:tcPr>
          <w:p w14:paraId="564595BA" w14:textId="0EF52703"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4,47</w:t>
            </w:r>
          </w:p>
        </w:tc>
        <w:tc>
          <w:tcPr>
            <w:tcW w:w="1276" w:type="dxa"/>
            <w:tcBorders>
              <w:top w:val="nil"/>
              <w:left w:val="nil"/>
              <w:bottom w:val="nil"/>
              <w:right w:val="nil"/>
            </w:tcBorders>
            <w:shd w:val="clear" w:color="000000" w:fill="A9D08E"/>
            <w:noWrap/>
            <w:vAlign w:val="bottom"/>
            <w:hideMark/>
          </w:tcPr>
          <w:p w14:paraId="468DE1FA" w14:textId="6DE646D9"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35,78</w:t>
            </w:r>
          </w:p>
        </w:tc>
        <w:tc>
          <w:tcPr>
            <w:tcW w:w="1276" w:type="dxa"/>
            <w:tcBorders>
              <w:top w:val="nil"/>
              <w:left w:val="nil"/>
              <w:bottom w:val="nil"/>
              <w:right w:val="nil"/>
            </w:tcBorders>
            <w:shd w:val="clear" w:color="000000" w:fill="FFC000"/>
            <w:noWrap/>
            <w:vAlign w:val="bottom"/>
            <w:hideMark/>
          </w:tcPr>
          <w:p w14:paraId="4C2312C1" w14:textId="40BC7E6F"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286,</w:t>
            </w:r>
            <w:r w:rsidR="008D08A2">
              <w:rPr>
                <w:rFonts w:ascii="Calibri" w:eastAsia="Times New Roman" w:hAnsi="Calibri"/>
                <w:color w:val="000000"/>
                <w:sz w:val="22"/>
                <w:szCs w:val="22"/>
                <w:lang w:val="en-US" w:eastAsia="en-US"/>
              </w:rPr>
              <w:t>3</w:t>
            </w:r>
          </w:p>
        </w:tc>
      </w:tr>
    </w:tbl>
    <w:p w14:paraId="303E7704" w14:textId="6D163E21" w:rsidR="0040520F" w:rsidRDefault="0040520F" w:rsidP="001473B9">
      <w:pPr>
        <w:rPr>
          <w:lang w:val="en-US"/>
        </w:rPr>
      </w:pPr>
    </w:p>
    <w:p w14:paraId="54A1852F" w14:textId="2D813860" w:rsidR="004009CB" w:rsidRDefault="004009CB" w:rsidP="001473B9">
      <w:pPr>
        <w:rPr>
          <w:lang w:val="en-US"/>
        </w:rPr>
      </w:pPr>
    </w:p>
    <w:p w14:paraId="0ECE3300" w14:textId="039D381D" w:rsidR="000E7502" w:rsidRDefault="000E7502" w:rsidP="00CC2E61">
      <w:pPr>
        <w:pStyle w:val="Caption"/>
      </w:pPr>
      <w:r>
        <w:t xml:space="preserve">Table </w:t>
      </w:r>
      <w:r>
        <w:fldChar w:fldCharType="begin"/>
      </w:r>
      <w:r>
        <w:instrText xml:space="preserve"> SEQ Table \* ARABIC </w:instrText>
      </w:r>
      <w:r>
        <w:fldChar w:fldCharType="separate"/>
      </w:r>
      <w:r>
        <w:rPr>
          <w:noProof/>
        </w:rPr>
        <w:t>2</w:t>
      </w:r>
      <w:r>
        <w:fldChar w:fldCharType="end"/>
      </w:r>
      <w:r>
        <w:tab/>
        <w:t>PDCP bit rates (Gbps) for different PDCP PDU sizes and SN lengths for RTT = 50 ms</w:t>
      </w:r>
    </w:p>
    <w:tbl>
      <w:tblPr>
        <w:tblW w:w="6828" w:type="dxa"/>
        <w:jc w:val="center"/>
        <w:tblLook w:val="04A0" w:firstRow="1" w:lastRow="0" w:firstColumn="1" w:lastColumn="0" w:noHBand="0" w:noVBand="1"/>
      </w:tblPr>
      <w:tblGrid>
        <w:gridCol w:w="1660"/>
        <w:gridCol w:w="960"/>
        <w:gridCol w:w="1052"/>
        <w:gridCol w:w="1052"/>
        <w:gridCol w:w="1052"/>
        <w:gridCol w:w="1052"/>
      </w:tblGrid>
      <w:tr w:rsidR="000E7502" w:rsidRPr="000E7502" w14:paraId="1409EF93" w14:textId="77777777" w:rsidTr="008A52DC">
        <w:trPr>
          <w:trHeight w:val="300"/>
          <w:jc w:val="center"/>
        </w:trPr>
        <w:tc>
          <w:tcPr>
            <w:tcW w:w="1660" w:type="dxa"/>
            <w:tcBorders>
              <w:top w:val="nil"/>
              <w:left w:val="nil"/>
              <w:bottom w:val="nil"/>
              <w:right w:val="nil"/>
            </w:tcBorders>
            <w:shd w:val="clear" w:color="000000" w:fill="FFFFFF"/>
            <w:noWrap/>
            <w:vAlign w:val="bottom"/>
            <w:hideMark/>
          </w:tcPr>
          <w:p w14:paraId="5C214C36"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960" w:type="dxa"/>
            <w:tcBorders>
              <w:top w:val="nil"/>
              <w:left w:val="nil"/>
              <w:bottom w:val="nil"/>
              <w:right w:val="nil"/>
            </w:tcBorders>
            <w:shd w:val="clear" w:color="000000" w:fill="FFFFFF"/>
            <w:noWrap/>
            <w:vAlign w:val="bottom"/>
            <w:hideMark/>
          </w:tcPr>
          <w:p w14:paraId="04759939"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4208" w:type="dxa"/>
            <w:gridSpan w:val="4"/>
            <w:tcBorders>
              <w:top w:val="nil"/>
              <w:left w:val="nil"/>
              <w:bottom w:val="nil"/>
              <w:right w:val="nil"/>
            </w:tcBorders>
            <w:shd w:val="clear" w:color="000000" w:fill="A6A6A6"/>
            <w:noWrap/>
            <w:vAlign w:val="bottom"/>
            <w:hideMark/>
          </w:tcPr>
          <w:p w14:paraId="2E83DEDF"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PDCP SN length (bits)</w:t>
            </w:r>
          </w:p>
        </w:tc>
      </w:tr>
      <w:tr w:rsidR="000E7502" w:rsidRPr="000E7502" w14:paraId="1C8641F5" w14:textId="77777777" w:rsidTr="008A52DC">
        <w:trPr>
          <w:trHeight w:val="315"/>
          <w:jc w:val="center"/>
        </w:trPr>
        <w:tc>
          <w:tcPr>
            <w:tcW w:w="1660" w:type="dxa"/>
            <w:tcBorders>
              <w:top w:val="nil"/>
              <w:left w:val="nil"/>
              <w:bottom w:val="nil"/>
              <w:right w:val="nil"/>
            </w:tcBorders>
            <w:shd w:val="clear" w:color="auto" w:fill="auto"/>
            <w:noWrap/>
            <w:vAlign w:val="bottom"/>
            <w:hideMark/>
          </w:tcPr>
          <w:p w14:paraId="5C3896B8"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p>
        </w:tc>
        <w:tc>
          <w:tcPr>
            <w:tcW w:w="960" w:type="dxa"/>
            <w:tcBorders>
              <w:top w:val="nil"/>
              <w:left w:val="nil"/>
              <w:bottom w:val="nil"/>
              <w:right w:val="nil"/>
            </w:tcBorders>
            <w:shd w:val="clear" w:color="000000" w:fill="FFFFFF"/>
            <w:noWrap/>
            <w:vAlign w:val="bottom"/>
            <w:hideMark/>
          </w:tcPr>
          <w:p w14:paraId="01FAF327"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 </w:t>
            </w:r>
          </w:p>
        </w:tc>
        <w:tc>
          <w:tcPr>
            <w:tcW w:w="1052" w:type="dxa"/>
            <w:tcBorders>
              <w:top w:val="nil"/>
              <w:left w:val="nil"/>
              <w:bottom w:val="single" w:sz="12" w:space="0" w:color="FFFFFF"/>
              <w:right w:val="nil"/>
            </w:tcBorders>
            <w:shd w:val="clear" w:color="000000" w:fill="C65911"/>
            <w:noWrap/>
            <w:vAlign w:val="bottom"/>
            <w:hideMark/>
          </w:tcPr>
          <w:p w14:paraId="134EDEA3"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7</w:t>
            </w:r>
          </w:p>
        </w:tc>
        <w:tc>
          <w:tcPr>
            <w:tcW w:w="1052" w:type="dxa"/>
            <w:tcBorders>
              <w:top w:val="nil"/>
              <w:left w:val="nil"/>
              <w:bottom w:val="single" w:sz="12" w:space="0" w:color="FFFFFF"/>
              <w:right w:val="nil"/>
            </w:tcBorders>
            <w:shd w:val="clear" w:color="000000" w:fill="C65911"/>
            <w:noWrap/>
            <w:vAlign w:val="bottom"/>
            <w:hideMark/>
          </w:tcPr>
          <w:p w14:paraId="53BFC0EC"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12</w:t>
            </w:r>
          </w:p>
        </w:tc>
        <w:tc>
          <w:tcPr>
            <w:tcW w:w="1052" w:type="dxa"/>
            <w:tcBorders>
              <w:top w:val="nil"/>
              <w:left w:val="nil"/>
              <w:bottom w:val="single" w:sz="12" w:space="0" w:color="FFFFFF"/>
              <w:right w:val="nil"/>
            </w:tcBorders>
            <w:shd w:val="clear" w:color="000000" w:fill="C65911"/>
            <w:noWrap/>
            <w:vAlign w:val="bottom"/>
            <w:hideMark/>
          </w:tcPr>
          <w:p w14:paraId="7E5906EE"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15</w:t>
            </w:r>
          </w:p>
        </w:tc>
        <w:tc>
          <w:tcPr>
            <w:tcW w:w="1052" w:type="dxa"/>
            <w:tcBorders>
              <w:top w:val="nil"/>
              <w:left w:val="nil"/>
              <w:bottom w:val="single" w:sz="12" w:space="0" w:color="FFFFFF"/>
              <w:right w:val="nil"/>
            </w:tcBorders>
            <w:shd w:val="clear" w:color="000000" w:fill="C65911"/>
            <w:noWrap/>
            <w:vAlign w:val="bottom"/>
            <w:hideMark/>
          </w:tcPr>
          <w:p w14:paraId="386BD990"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18</w:t>
            </w:r>
          </w:p>
        </w:tc>
      </w:tr>
      <w:tr w:rsidR="000E7502" w:rsidRPr="000E7502" w14:paraId="4131E9D6" w14:textId="77777777" w:rsidTr="008A52DC">
        <w:trPr>
          <w:trHeight w:val="315"/>
          <w:jc w:val="center"/>
        </w:trPr>
        <w:tc>
          <w:tcPr>
            <w:tcW w:w="1660" w:type="dxa"/>
            <w:vMerge w:val="restart"/>
            <w:tcBorders>
              <w:top w:val="nil"/>
              <w:left w:val="nil"/>
              <w:bottom w:val="nil"/>
              <w:right w:val="nil"/>
            </w:tcBorders>
            <w:shd w:val="clear" w:color="000000" w:fill="808080"/>
            <w:noWrap/>
            <w:vAlign w:val="center"/>
            <w:hideMark/>
          </w:tcPr>
          <w:p w14:paraId="659D02E8" w14:textId="77777777" w:rsidR="000E7502" w:rsidRPr="000E7502" w:rsidRDefault="000E7502" w:rsidP="000E7502">
            <w:pPr>
              <w:overflowPunct/>
              <w:autoSpaceDE/>
              <w:autoSpaceDN/>
              <w:adjustRightInd/>
              <w:spacing w:after="0"/>
              <w:jc w:val="center"/>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PDCP PDU (bytes)</w:t>
            </w:r>
          </w:p>
        </w:tc>
        <w:tc>
          <w:tcPr>
            <w:tcW w:w="960" w:type="dxa"/>
            <w:tcBorders>
              <w:top w:val="nil"/>
              <w:left w:val="nil"/>
              <w:bottom w:val="nil"/>
              <w:right w:val="single" w:sz="12" w:space="0" w:color="FFFFFF"/>
            </w:tcBorders>
            <w:shd w:val="clear" w:color="000000" w:fill="F8CBAD"/>
            <w:noWrap/>
            <w:vAlign w:val="bottom"/>
            <w:hideMark/>
          </w:tcPr>
          <w:p w14:paraId="5385733E"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512</w:t>
            </w:r>
          </w:p>
        </w:tc>
        <w:tc>
          <w:tcPr>
            <w:tcW w:w="1052" w:type="dxa"/>
            <w:tcBorders>
              <w:top w:val="nil"/>
              <w:left w:val="nil"/>
              <w:bottom w:val="nil"/>
              <w:right w:val="nil"/>
            </w:tcBorders>
            <w:shd w:val="clear" w:color="000000" w:fill="9BC2E6"/>
            <w:noWrap/>
            <w:vAlign w:val="bottom"/>
            <w:hideMark/>
          </w:tcPr>
          <w:p w14:paraId="41A3001E" w14:textId="408DB43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0,005</w:t>
            </w:r>
          </w:p>
        </w:tc>
        <w:tc>
          <w:tcPr>
            <w:tcW w:w="1052" w:type="dxa"/>
            <w:tcBorders>
              <w:top w:val="nil"/>
              <w:left w:val="nil"/>
              <w:bottom w:val="nil"/>
              <w:right w:val="nil"/>
            </w:tcBorders>
            <w:shd w:val="clear" w:color="000000" w:fill="FFE699"/>
            <w:noWrap/>
            <w:vAlign w:val="bottom"/>
            <w:hideMark/>
          </w:tcPr>
          <w:p w14:paraId="25485CA3" w14:textId="17478BA2"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w:t>
            </w:r>
            <w:r w:rsidR="00E0282A" w:rsidRPr="000E7502">
              <w:rPr>
                <w:rFonts w:ascii="Calibri" w:eastAsia="Times New Roman" w:hAnsi="Calibri"/>
                <w:color w:val="000000"/>
                <w:sz w:val="22"/>
                <w:szCs w:val="22"/>
                <w:lang w:val="en-US" w:eastAsia="en-US"/>
              </w:rPr>
              <w:t>1</w:t>
            </w:r>
            <w:r w:rsidR="00E0282A">
              <w:rPr>
                <w:rFonts w:ascii="Calibri" w:eastAsia="Times New Roman" w:hAnsi="Calibri"/>
                <w:color w:val="000000"/>
                <w:sz w:val="22"/>
                <w:szCs w:val="22"/>
                <w:lang w:val="en-US" w:eastAsia="en-US"/>
              </w:rPr>
              <w:t>7</w:t>
            </w:r>
          </w:p>
        </w:tc>
        <w:tc>
          <w:tcPr>
            <w:tcW w:w="1052" w:type="dxa"/>
            <w:tcBorders>
              <w:top w:val="nil"/>
              <w:left w:val="nil"/>
              <w:bottom w:val="nil"/>
              <w:right w:val="nil"/>
            </w:tcBorders>
            <w:shd w:val="clear" w:color="000000" w:fill="A9D08E"/>
            <w:noWrap/>
            <w:vAlign w:val="bottom"/>
            <w:hideMark/>
          </w:tcPr>
          <w:p w14:paraId="6416959B" w14:textId="2EC47DAD"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w:t>
            </w:r>
            <w:r w:rsidR="00E0282A">
              <w:rPr>
                <w:rFonts w:ascii="Calibri" w:eastAsia="Times New Roman" w:hAnsi="Calibri"/>
                <w:color w:val="000000"/>
                <w:sz w:val="22"/>
                <w:szCs w:val="22"/>
                <w:lang w:val="en-US" w:eastAsia="en-US"/>
              </w:rPr>
              <w:t>34</w:t>
            </w:r>
          </w:p>
        </w:tc>
        <w:tc>
          <w:tcPr>
            <w:tcW w:w="1052" w:type="dxa"/>
            <w:tcBorders>
              <w:top w:val="nil"/>
              <w:left w:val="nil"/>
              <w:bottom w:val="nil"/>
              <w:right w:val="nil"/>
            </w:tcBorders>
            <w:shd w:val="clear" w:color="000000" w:fill="FFC000"/>
            <w:noWrap/>
            <w:vAlign w:val="bottom"/>
            <w:hideMark/>
          </w:tcPr>
          <w:p w14:paraId="51764495" w14:textId="431615B0"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10,</w:t>
            </w:r>
            <w:r w:rsidR="00E0282A" w:rsidRPr="000E7502">
              <w:rPr>
                <w:rFonts w:ascii="Calibri" w:eastAsia="Times New Roman" w:hAnsi="Calibri"/>
                <w:color w:val="000000"/>
                <w:sz w:val="22"/>
                <w:szCs w:val="22"/>
                <w:lang w:val="en-US" w:eastAsia="en-US"/>
              </w:rPr>
              <w:t>7</w:t>
            </w:r>
            <w:r w:rsidR="00E0282A">
              <w:rPr>
                <w:rFonts w:ascii="Calibri" w:eastAsia="Times New Roman" w:hAnsi="Calibri"/>
                <w:color w:val="000000"/>
                <w:sz w:val="22"/>
                <w:szCs w:val="22"/>
                <w:lang w:val="en-US" w:eastAsia="en-US"/>
              </w:rPr>
              <w:t>4</w:t>
            </w:r>
          </w:p>
        </w:tc>
      </w:tr>
      <w:tr w:rsidR="000E7502" w:rsidRPr="000E7502" w14:paraId="15312BAE" w14:textId="77777777" w:rsidTr="008A52DC">
        <w:trPr>
          <w:trHeight w:val="300"/>
          <w:jc w:val="center"/>
        </w:trPr>
        <w:tc>
          <w:tcPr>
            <w:tcW w:w="1660" w:type="dxa"/>
            <w:vMerge/>
            <w:tcBorders>
              <w:top w:val="nil"/>
              <w:left w:val="nil"/>
              <w:bottom w:val="nil"/>
              <w:right w:val="nil"/>
            </w:tcBorders>
            <w:vAlign w:val="center"/>
            <w:hideMark/>
          </w:tcPr>
          <w:p w14:paraId="32E48B30"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960" w:type="dxa"/>
            <w:tcBorders>
              <w:top w:val="nil"/>
              <w:left w:val="nil"/>
              <w:bottom w:val="nil"/>
              <w:right w:val="single" w:sz="12" w:space="0" w:color="FFFFFF"/>
            </w:tcBorders>
            <w:shd w:val="clear" w:color="000000" w:fill="F8CBAD"/>
            <w:noWrap/>
            <w:vAlign w:val="bottom"/>
            <w:hideMark/>
          </w:tcPr>
          <w:p w14:paraId="04BC7F1E"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1502</w:t>
            </w:r>
          </w:p>
        </w:tc>
        <w:tc>
          <w:tcPr>
            <w:tcW w:w="1052" w:type="dxa"/>
            <w:tcBorders>
              <w:top w:val="nil"/>
              <w:left w:val="nil"/>
              <w:bottom w:val="nil"/>
              <w:right w:val="nil"/>
            </w:tcBorders>
            <w:shd w:val="clear" w:color="000000" w:fill="9BC2E6"/>
            <w:noWrap/>
            <w:vAlign w:val="bottom"/>
            <w:hideMark/>
          </w:tcPr>
          <w:p w14:paraId="4E654ABC" w14:textId="414AD17C"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0,015</w:t>
            </w:r>
          </w:p>
        </w:tc>
        <w:tc>
          <w:tcPr>
            <w:tcW w:w="1052" w:type="dxa"/>
            <w:tcBorders>
              <w:top w:val="nil"/>
              <w:left w:val="nil"/>
              <w:bottom w:val="nil"/>
              <w:right w:val="nil"/>
            </w:tcBorders>
            <w:shd w:val="clear" w:color="000000" w:fill="FFE699"/>
            <w:noWrap/>
            <w:vAlign w:val="bottom"/>
            <w:hideMark/>
          </w:tcPr>
          <w:p w14:paraId="1EF0E7EA" w14:textId="6E536600"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0,49</w:t>
            </w:r>
          </w:p>
        </w:tc>
        <w:tc>
          <w:tcPr>
            <w:tcW w:w="1052" w:type="dxa"/>
            <w:tcBorders>
              <w:top w:val="nil"/>
              <w:left w:val="nil"/>
              <w:bottom w:val="nil"/>
              <w:right w:val="nil"/>
            </w:tcBorders>
            <w:shd w:val="clear" w:color="000000" w:fill="A9D08E"/>
            <w:noWrap/>
            <w:vAlign w:val="bottom"/>
            <w:hideMark/>
          </w:tcPr>
          <w:p w14:paraId="1AFDB8C7" w14:textId="107CF3AE"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3,</w:t>
            </w:r>
            <w:r w:rsidR="00E0282A">
              <w:rPr>
                <w:rFonts w:ascii="Calibri" w:eastAsia="Times New Roman" w:hAnsi="Calibri"/>
                <w:color w:val="000000"/>
                <w:sz w:val="22"/>
                <w:szCs w:val="22"/>
                <w:lang w:val="en-US" w:eastAsia="en-US"/>
              </w:rPr>
              <w:t>94</w:t>
            </w:r>
          </w:p>
        </w:tc>
        <w:tc>
          <w:tcPr>
            <w:tcW w:w="1052" w:type="dxa"/>
            <w:tcBorders>
              <w:top w:val="nil"/>
              <w:left w:val="nil"/>
              <w:bottom w:val="nil"/>
              <w:right w:val="nil"/>
            </w:tcBorders>
            <w:shd w:val="clear" w:color="000000" w:fill="FFC000"/>
            <w:noWrap/>
            <w:vAlign w:val="bottom"/>
            <w:hideMark/>
          </w:tcPr>
          <w:p w14:paraId="12A669AF" w14:textId="249D206C"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31,</w:t>
            </w:r>
            <w:r w:rsidR="00E0282A">
              <w:rPr>
                <w:rFonts w:ascii="Calibri" w:eastAsia="Times New Roman" w:hAnsi="Calibri"/>
                <w:color w:val="000000"/>
                <w:sz w:val="22"/>
                <w:szCs w:val="22"/>
                <w:lang w:val="en-US" w:eastAsia="en-US"/>
              </w:rPr>
              <w:t>50</w:t>
            </w:r>
          </w:p>
        </w:tc>
      </w:tr>
      <w:tr w:rsidR="000E7502" w:rsidRPr="000E7502" w14:paraId="0C401911" w14:textId="77777777" w:rsidTr="008A52DC">
        <w:trPr>
          <w:trHeight w:val="300"/>
          <w:jc w:val="center"/>
        </w:trPr>
        <w:tc>
          <w:tcPr>
            <w:tcW w:w="1660" w:type="dxa"/>
            <w:vMerge/>
            <w:tcBorders>
              <w:top w:val="nil"/>
              <w:left w:val="nil"/>
              <w:bottom w:val="nil"/>
              <w:right w:val="nil"/>
            </w:tcBorders>
            <w:vAlign w:val="center"/>
            <w:hideMark/>
          </w:tcPr>
          <w:p w14:paraId="1A65622B" w14:textId="77777777" w:rsidR="000E7502" w:rsidRPr="000E7502" w:rsidRDefault="000E7502" w:rsidP="000E7502">
            <w:pPr>
              <w:overflowPunct/>
              <w:autoSpaceDE/>
              <w:autoSpaceDN/>
              <w:adjustRightInd/>
              <w:spacing w:after="0"/>
              <w:jc w:val="left"/>
              <w:textAlignment w:val="auto"/>
              <w:rPr>
                <w:rFonts w:ascii="Calibri" w:eastAsia="Times New Roman" w:hAnsi="Calibri"/>
                <w:color w:val="000000"/>
                <w:sz w:val="22"/>
                <w:szCs w:val="22"/>
                <w:lang w:val="en-US" w:eastAsia="en-US"/>
              </w:rPr>
            </w:pPr>
          </w:p>
        </w:tc>
        <w:tc>
          <w:tcPr>
            <w:tcW w:w="960" w:type="dxa"/>
            <w:tcBorders>
              <w:top w:val="nil"/>
              <w:left w:val="nil"/>
              <w:bottom w:val="nil"/>
              <w:right w:val="single" w:sz="12" w:space="0" w:color="FFFFFF"/>
            </w:tcBorders>
            <w:shd w:val="clear" w:color="000000" w:fill="F8CBAD"/>
            <w:noWrap/>
            <w:vAlign w:val="bottom"/>
            <w:hideMark/>
          </w:tcPr>
          <w:p w14:paraId="3E73C8B0" w14:textId="7777777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8190</w:t>
            </w:r>
          </w:p>
        </w:tc>
        <w:tc>
          <w:tcPr>
            <w:tcW w:w="1052" w:type="dxa"/>
            <w:tcBorders>
              <w:top w:val="nil"/>
              <w:left w:val="nil"/>
              <w:bottom w:val="nil"/>
              <w:right w:val="nil"/>
            </w:tcBorders>
            <w:shd w:val="clear" w:color="000000" w:fill="9BC2E6"/>
            <w:noWrap/>
            <w:vAlign w:val="bottom"/>
            <w:hideMark/>
          </w:tcPr>
          <w:p w14:paraId="7AE6E332" w14:textId="3AF18A47"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0,</w:t>
            </w:r>
            <w:r w:rsidR="00E0282A" w:rsidRPr="000E7502">
              <w:rPr>
                <w:rFonts w:ascii="Calibri" w:eastAsia="Times New Roman" w:hAnsi="Calibri"/>
                <w:color w:val="000000"/>
                <w:sz w:val="22"/>
                <w:szCs w:val="22"/>
                <w:lang w:val="en-US" w:eastAsia="en-US"/>
              </w:rPr>
              <w:t>08</w:t>
            </w:r>
            <w:r w:rsidR="00E0282A">
              <w:rPr>
                <w:rFonts w:ascii="Calibri" w:eastAsia="Times New Roman" w:hAnsi="Calibri"/>
                <w:color w:val="000000"/>
                <w:sz w:val="22"/>
                <w:szCs w:val="22"/>
                <w:lang w:val="en-US" w:eastAsia="en-US"/>
              </w:rPr>
              <w:t>4</w:t>
            </w:r>
          </w:p>
        </w:tc>
        <w:tc>
          <w:tcPr>
            <w:tcW w:w="1052" w:type="dxa"/>
            <w:tcBorders>
              <w:top w:val="nil"/>
              <w:left w:val="nil"/>
              <w:bottom w:val="nil"/>
              <w:right w:val="nil"/>
            </w:tcBorders>
            <w:shd w:val="clear" w:color="000000" w:fill="FFE699"/>
            <w:noWrap/>
            <w:vAlign w:val="bottom"/>
            <w:hideMark/>
          </w:tcPr>
          <w:p w14:paraId="06A6FE83" w14:textId="5F52A4BA"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2,68</w:t>
            </w:r>
          </w:p>
        </w:tc>
        <w:tc>
          <w:tcPr>
            <w:tcW w:w="1052" w:type="dxa"/>
            <w:tcBorders>
              <w:top w:val="nil"/>
              <w:left w:val="nil"/>
              <w:bottom w:val="nil"/>
              <w:right w:val="nil"/>
            </w:tcBorders>
            <w:shd w:val="clear" w:color="000000" w:fill="A9D08E"/>
            <w:noWrap/>
            <w:vAlign w:val="bottom"/>
            <w:hideMark/>
          </w:tcPr>
          <w:p w14:paraId="4F7E991E" w14:textId="008652BC"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21,</w:t>
            </w:r>
            <w:r w:rsidR="00E0282A">
              <w:rPr>
                <w:rFonts w:ascii="Calibri" w:eastAsia="Times New Roman" w:hAnsi="Calibri"/>
                <w:color w:val="000000"/>
                <w:sz w:val="22"/>
                <w:szCs w:val="22"/>
                <w:lang w:val="en-US" w:eastAsia="en-US"/>
              </w:rPr>
              <w:t>47</w:t>
            </w:r>
          </w:p>
        </w:tc>
        <w:tc>
          <w:tcPr>
            <w:tcW w:w="1052" w:type="dxa"/>
            <w:tcBorders>
              <w:top w:val="nil"/>
              <w:left w:val="nil"/>
              <w:bottom w:val="nil"/>
              <w:right w:val="nil"/>
            </w:tcBorders>
            <w:shd w:val="clear" w:color="000000" w:fill="FFC000"/>
            <w:noWrap/>
            <w:vAlign w:val="bottom"/>
            <w:hideMark/>
          </w:tcPr>
          <w:p w14:paraId="46C4F036" w14:textId="3C209DA3" w:rsidR="000E7502" w:rsidRPr="000E7502" w:rsidRDefault="000E7502" w:rsidP="000E7502">
            <w:pPr>
              <w:overflowPunct/>
              <w:autoSpaceDE/>
              <w:autoSpaceDN/>
              <w:adjustRightInd/>
              <w:spacing w:after="0"/>
              <w:jc w:val="right"/>
              <w:textAlignment w:val="auto"/>
              <w:rPr>
                <w:rFonts w:ascii="Calibri" w:eastAsia="Times New Roman" w:hAnsi="Calibri"/>
                <w:color w:val="000000"/>
                <w:sz w:val="22"/>
                <w:szCs w:val="22"/>
                <w:lang w:val="en-US" w:eastAsia="en-US"/>
              </w:rPr>
            </w:pPr>
            <w:r w:rsidRPr="000E7502">
              <w:rPr>
                <w:rFonts w:ascii="Calibri" w:eastAsia="Times New Roman" w:hAnsi="Calibri"/>
                <w:color w:val="000000"/>
                <w:sz w:val="22"/>
                <w:szCs w:val="22"/>
                <w:lang w:val="en-US" w:eastAsia="en-US"/>
              </w:rPr>
              <w:t>171,</w:t>
            </w:r>
            <w:r w:rsidR="00E0282A">
              <w:rPr>
                <w:rFonts w:ascii="Calibri" w:eastAsia="Times New Roman" w:hAnsi="Calibri"/>
                <w:color w:val="000000"/>
                <w:sz w:val="22"/>
                <w:szCs w:val="22"/>
                <w:lang w:val="en-US" w:eastAsia="en-US"/>
              </w:rPr>
              <w:t>76</w:t>
            </w:r>
          </w:p>
        </w:tc>
      </w:tr>
    </w:tbl>
    <w:p w14:paraId="515C75B1" w14:textId="77777777" w:rsidR="000E7502" w:rsidRDefault="000E7502" w:rsidP="001473B9">
      <w:pPr>
        <w:rPr>
          <w:lang w:val="en-US"/>
        </w:rPr>
      </w:pPr>
    </w:p>
    <w:p w14:paraId="7F86B13D" w14:textId="7873C069" w:rsidR="004009CB" w:rsidRDefault="004009CB" w:rsidP="001473B9">
      <w:pPr>
        <w:rPr>
          <w:lang w:val="en-US"/>
        </w:rPr>
      </w:pPr>
      <w:r>
        <w:rPr>
          <w:lang w:val="en-US"/>
        </w:rPr>
        <w:t>NR is expected to achieve bit rates of in the order of some Gbps and in deployments w</w:t>
      </w:r>
      <w:r w:rsidR="005932EF">
        <w:rPr>
          <w:lang w:val="en-US"/>
        </w:rPr>
        <w:t>ith</w:t>
      </w:r>
      <w:r>
        <w:rPr>
          <w:lang w:val="en-US"/>
        </w:rPr>
        <w:t xml:space="preserve"> large amounts of bandwidth, it could arrive up </w:t>
      </w:r>
      <w:r w:rsidR="000E7502">
        <w:rPr>
          <w:lang w:val="en-US"/>
        </w:rPr>
        <w:t>several dozens of</w:t>
      </w:r>
      <w:r>
        <w:rPr>
          <w:lang w:val="en-US"/>
        </w:rPr>
        <w:t xml:space="preserve"> Gbps</w:t>
      </w:r>
      <w:r w:rsidR="008D6E71">
        <w:rPr>
          <w:lang w:val="en-US"/>
        </w:rPr>
        <w:t xml:space="preserve"> </w:t>
      </w:r>
      <w:r w:rsidR="00A45B48">
        <w:rPr>
          <w:lang w:val="en-US"/>
        </w:rPr>
        <w:t xml:space="preserve">(~20 Gbps) </w:t>
      </w:r>
      <w:r w:rsidR="008D6E71">
        <w:rPr>
          <w:lang w:val="en-US"/>
        </w:rPr>
        <w:t xml:space="preserve">for </w:t>
      </w:r>
      <w:r w:rsidR="000E7502">
        <w:rPr>
          <w:lang w:val="en-US"/>
        </w:rPr>
        <w:t xml:space="preserve">a </w:t>
      </w:r>
      <w:r w:rsidR="008D6E71">
        <w:rPr>
          <w:lang w:val="en-US"/>
        </w:rPr>
        <w:t>single UE</w:t>
      </w:r>
      <w:r>
        <w:rPr>
          <w:lang w:val="en-US"/>
        </w:rPr>
        <w:t>. From the table above, it can be conclu</w:t>
      </w:r>
      <w:r w:rsidR="008E6AFF">
        <w:rPr>
          <w:lang w:val="en-US"/>
        </w:rPr>
        <w:t>ded that 15</w:t>
      </w:r>
      <w:r>
        <w:rPr>
          <w:lang w:val="en-US"/>
        </w:rPr>
        <w:t xml:space="preserve"> bits </w:t>
      </w:r>
      <w:r w:rsidR="005932EF">
        <w:rPr>
          <w:lang w:val="en-US"/>
        </w:rPr>
        <w:t>is</w:t>
      </w:r>
      <w:r>
        <w:rPr>
          <w:lang w:val="en-US"/>
        </w:rPr>
        <w:t xml:space="preserve"> sufficient to cope with the </w:t>
      </w:r>
      <w:r w:rsidR="008E6AFF">
        <w:rPr>
          <w:lang w:val="en-US"/>
        </w:rPr>
        <w:t xml:space="preserve">initial </w:t>
      </w:r>
      <w:r>
        <w:rPr>
          <w:lang w:val="en-US"/>
        </w:rPr>
        <w:t xml:space="preserve">expected bit rates. </w:t>
      </w:r>
      <w:r w:rsidR="00995F2B">
        <w:rPr>
          <w:lang w:val="en-US"/>
        </w:rPr>
        <w:t>However, 18 bits seem to be a more future pro</w:t>
      </w:r>
      <w:r w:rsidR="00E63A4B">
        <w:rPr>
          <w:lang w:val="en-US"/>
        </w:rPr>
        <w:t>of</w:t>
      </w:r>
      <w:r w:rsidR="00995F2B">
        <w:rPr>
          <w:lang w:val="en-US"/>
        </w:rPr>
        <w:t xml:space="preserve"> value which may be </w:t>
      </w:r>
      <w:r w:rsidR="00ED7B11">
        <w:rPr>
          <w:lang w:val="en-US"/>
        </w:rPr>
        <w:t>able to cope with extreme cases and allows some flexibility in the back-haul design.</w:t>
      </w:r>
    </w:p>
    <w:p w14:paraId="76A128CD" w14:textId="77777777" w:rsidR="00995F2B" w:rsidRDefault="00995F2B" w:rsidP="001473B9">
      <w:pPr>
        <w:rPr>
          <w:lang w:val="en-US"/>
        </w:rPr>
      </w:pPr>
    </w:p>
    <w:p w14:paraId="4A124797" w14:textId="72713061" w:rsidR="00995F2B" w:rsidRDefault="00995F2B" w:rsidP="00CC2E61">
      <w:pPr>
        <w:pStyle w:val="Proposal"/>
        <w:rPr>
          <w:lang w:val="en-US"/>
        </w:rPr>
      </w:pPr>
      <w:bookmarkStart w:id="7" w:name="_Toc462315878"/>
      <w:bookmarkStart w:id="8" w:name="_Toc462412181"/>
      <w:bookmarkStart w:id="9" w:name="_Toc462639137"/>
      <w:bookmarkStart w:id="10" w:name="_Toc462997235"/>
      <w:r>
        <w:rPr>
          <w:lang w:val="en-US"/>
        </w:rPr>
        <w:t>PDCP SN length should be up to 18 bits (for data bearer)</w:t>
      </w:r>
      <w:bookmarkEnd w:id="7"/>
      <w:bookmarkEnd w:id="8"/>
      <w:bookmarkEnd w:id="9"/>
      <w:bookmarkEnd w:id="10"/>
    </w:p>
    <w:p w14:paraId="4DA88836" w14:textId="2CF0BFF3" w:rsidR="00E07310" w:rsidRDefault="00E07310" w:rsidP="00691DE2">
      <w:pPr>
        <w:rPr>
          <w:lang w:val="en-US"/>
        </w:rPr>
      </w:pPr>
    </w:p>
    <w:p w14:paraId="47294910" w14:textId="7C6FC31F" w:rsidR="00995F2B" w:rsidRDefault="00995F2B" w:rsidP="00691DE2">
      <w:pPr>
        <w:rPr>
          <w:lang w:val="en-US"/>
        </w:rPr>
      </w:pPr>
      <w:r>
        <w:rPr>
          <w:lang w:val="en-US"/>
        </w:rPr>
        <w:t>While 18 bits is a SN length needed to achieve the maximum bit rates, lower SN lengths may still be needed. There may be situations in which the signaling overhead needs to be limited such as, for example, in coverage limited situations</w:t>
      </w:r>
      <w:r w:rsidR="005B74F8">
        <w:rPr>
          <w:lang w:val="en-US"/>
        </w:rPr>
        <w:t xml:space="preserve"> or for low data rate services</w:t>
      </w:r>
      <w:r>
        <w:rPr>
          <w:lang w:val="en-US"/>
        </w:rPr>
        <w:t xml:space="preserve">. In these situations, the maximum bit rates may be considerably reduced and, therefore, a </w:t>
      </w:r>
      <w:r w:rsidR="005B74F8">
        <w:rPr>
          <w:lang w:val="en-US"/>
        </w:rPr>
        <w:t>short</w:t>
      </w:r>
      <w:r>
        <w:rPr>
          <w:lang w:val="en-US"/>
        </w:rPr>
        <w:t xml:space="preserve"> SN space </w:t>
      </w:r>
      <w:r w:rsidR="008D6E71">
        <w:rPr>
          <w:lang w:val="en-US"/>
        </w:rPr>
        <w:t>is</w:t>
      </w:r>
      <w:r>
        <w:rPr>
          <w:lang w:val="en-US"/>
        </w:rPr>
        <w:t xml:space="preserve"> more suitable</w:t>
      </w:r>
      <w:r w:rsidR="00192871">
        <w:rPr>
          <w:lang w:val="en-US"/>
        </w:rPr>
        <w:t xml:space="preserve"> to limit overhead</w:t>
      </w:r>
      <w:r>
        <w:rPr>
          <w:lang w:val="en-US"/>
        </w:rPr>
        <w:t>.</w:t>
      </w:r>
    </w:p>
    <w:p w14:paraId="76E98628" w14:textId="0F592090" w:rsidR="002624BD" w:rsidRDefault="005D60DB" w:rsidP="00691DE2">
      <w:pPr>
        <w:rPr>
          <w:lang w:val="en-US"/>
        </w:rPr>
      </w:pPr>
      <w:r>
        <w:rPr>
          <w:lang w:val="en-US"/>
        </w:rPr>
        <w:t>Another aspect to consider is the LTE-NR interworking and integration</w:t>
      </w:r>
      <w:r w:rsidR="00D6733D">
        <w:rPr>
          <w:lang w:val="en-US"/>
        </w:rPr>
        <w:t xml:space="preserve"> (e.g. CA, DC, and handovers)</w:t>
      </w:r>
      <w:r>
        <w:rPr>
          <w:lang w:val="en-US"/>
        </w:rPr>
        <w:t xml:space="preserve">. </w:t>
      </w:r>
      <w:r w:rsidR="00D6733D">
        <w:rPr>
          <w:lang w:val="en-US"/>
        </w:rPr>
        <w:t xml:space="preserve">The MCG (having the PDCP layer) may be in either of LTE or NR depending on the potential bit rates, coverages, expected robustness, etc. </w:t>
      </w:r>
      <w:r w:rsidR="002624BD">
        <w:rPr>
          <w:lang w:val="en-US"/>
        </w:rPr>
        <w:t xml:space="preserve">However, in a mobile system, handovers may be common. These should be performed as seamless as possible. Having the same set of PDCP SN length values </w:t>
      </w:r>
      <w:r w:rsidR="00E63A4B">
        <w:rPr>
          <w:lang w:val="en-US"/>
        </w:rPr>
        <w:t xml:space="preserve">in LTE and NR </w:t>
      </w:r>
      <w:r w:rsidR="002624BD">
        <w:rPr>
          <w:lang w:val="en-US"/>
        </w:rPr>
        <w:t>may avoid having to reconfigure the PDCP layer to change the SN length</w:t>
      </w:r>
      <w:r w:rsidR="00E63A4B">
        <w:rPr>
          <w:lang w:val="en-US"/>
        </w:rPr>
        <w:t xml:space="preserve"> when doing handover between the two RATs</w:t>
      </w:r>
      <w:r w:rsidR="002624BD">
        <w:rPr>
          <w:lang w:val="en-US"/>
        </w:rPr>
        <w:t xml:space="preserve">. </w:t>
      </w:r>
    </w:p>
    <w:p w14:paraId="0BDF38FD" w14:textId="04403265" w:rsidR="00995F2B" w:rsidRDefault="005D60DB" w:rsidP="00691DE2">
      <w:pPr>
        <w:rPr>
          <w:lang w:val="en-US"/>
        </w:rPr>
      </w:pPr>
      <w:r>
        <w:rPr>
          <w:lang w:val="en-US"/>
        </w:rPr>
        <w:t>LTE supports a set of SN lengths for data bearers (7, 12, 15, 18)</w:t>
      </w:r>
      <w:r w:rsidR="009A26E2">
        <w:rPr>
          <w:lang w:val="en-US"/>
        </w:rPr>
        <w:t>. The LTE default</w:t>
      </w:r>
      <w:r w:rsidR="00C33055">
        <w:rPr>
          <w:lang w:val="en-US"/>
        </w:rPr>
        <w:t xml:space="preserve"> length value</w:t>
      </w:r>
      <w:r w:rsidR="009A26E2">
        <w:rPr>
          <w:lang w:val="en-US"/>
        </w:rPr>
        <w:t xml:space="preserve"> (if </w:t>
      </w:r>
      <w:r w:rsidR="00C33055">
        <w:rPr>
          <w:lang w:val="en-US"/>
        </w:rPr>
        <w:t xml:space="preserve">the SN length </w:t>
      </w:r>
      <w:r w:rsidR="009A26E2">
        <w:rPr>
          <w:lang w:val="en-US"/>
        </w:rPr>
        <w:t xml:space="preserve">value is not included in the setup message) is 12 bits. Exceptionally, </w:t>
      </w:r>
      <w:r w:rsidR="009A26E2" w:rsidRPr="009A26E2">
        <w:rPr>
          <w:lang w:val="en-US"/>
        </w:rPr>
        <w:t xml:space="preserve">NB-IoT </w:t>
      </w:r>
      <w:r w:rsidR="009A26E2">
        <w:rPr>
          <w:lang w:val="en-US"/>
        </w:rPr>
        <w:t xml:space="preserve">can only use </w:t>
      </w:r>
      <w:r w:rsidR="009A26E2" w:rsidRPr="009A26E2">
        <w:rPr>
          <w:lang w:val="en-US"/>
        </w:rPr>
        <w:t>7</w:t>
      </w:r>
      <w:r w:rsidR="00DD4F52">
        <w:rPr>
          <w:lang w:val="en-US"/>
        </w:rPr>
        <w:t>-</w:t>
      </w:r>
      <w:r w:rsidR="009A26E2" w:rsidRPr="009A26E2">
        <w:rPr>
          <w:lang w:val="en-US"/>
        </w:rPr>
        <w:t>bit PDCP SN</w:t>
      </w:r>
      <w:r w:rsidR="008E6AFF">
        <w:rPr>
          <w:lang w:val="en-US"/>
        </w:rPr>
        <w:t xml:space="preserve"> length.</w:t>
      </w:r>
      <w:r w:rsidR="00D6733D">
        <w:rPr>
          <w:lang w:val="en-US"/>
        </w:rPr>
        <w:br/>
      </w:r>
    </w:p>
    <w:p w14:paraId="36E0319C" w14:textId="7B2FD0F6" w:rsidR="002624BD" w:rsidRDefault="00E5422E" w:rsidP="00CC2E61">
      <w:pPr>
        <w:pStyle w:val="Proposal"/>
        <w:rPr>
          <w:lang w:val="en-US"/>
        </w:rPr>
      </w:pPr>
      <w:bookmarkStart w:id="11" w:name="_Toc462315879"/>
      <w:bookmarkStart w:id="12" w:name="_Toc462412182"/>
      <w:bookmarkStart w:id="13" w:name="_Toc462639138"/>
      <w:bookmarkStart w:id="14" w:name="_Toc462997236"/>
      <w:r>
        <w:rPr>
          <w:lang w:val="en-US"/>
        </w:rPr>
        <w:t xml:space="preserve">Discuss whether </w:t>
      </w:r>
      <w:r w:rsidR="002624BD">
        <w:rPr>
          <w:lang w:val="en-US"/>
        </w:rPr>
        <w:t xml:space="preserve">NR should support </w:t>
      </w:r>
      <w:r>
        <w:rPr>
          <w:lang w:val="en-US"/>
        </w:rPr>
        <w:t xml:space="preserve">all PDCP SN length values </w:t>
      </w:r>
      <w:r w:rsidR="00ED7B11">
        <w:rPr>
          <w:lang w:val="en-US"/>
        </w:rPr>
        <w:t xml:space="preserve">(for data bearers) </w:t>
      </w:r>
      <w:r>
        <w:rPr>
          <w:lang w:val="en-US"/>
        </w:rPr>
        <w:t>as in LTE or only a subset to simplify.</w:t>
      </w:r>
      <w:bookmarkEnd w:id="11"/>
      <w:bookmarkEnd w:id="12"/>
      <w:bookmarkEnd w:id="13"/>
      <w:bookmarkEnd w:id="14"/>
    </w:p>
    <w:p w14:paraId="1A1A84DB" w14:textId="77777777" w:rsidR="00E5422E" w:rsidRDefault="00E5422E" w:rsidP="00E5422E">
      <w:pPr>
        <w:pStyle w:val="BodyText"/>
        <w:rPr>
          <w:lang w:val="en-US"/>
        </w:rPr>
      </w:pPr>
    </w:p>
    <w:p w14:paraId="1702A4E2" w14:textId="767ED218" w:rsidR="008A52DC" w:rsidRDefault="00E5422E" w:rsidP="00E5422E">
      <w:pPr>
        <w:pStyle w:val="BodyText"/>
        <w:rPr>
          <w:lang w:val="en-US"/>
        </w:rPr>
      </w:pPr>
      <w:r>
        <w:rPr>
          <w:lang w:val="en-US"/>
        </w:rPr>
        <w:t>Even if NR supports the same set of PDCP SN lengths, the PDCP SN may need to be reconfigured and changed. The typical case in which this may happen is at handover.</w:t>
      </w:r>
    </w:p>
    <w:p w14:paraId="06678B19" w14:textId="2E553C9A" w:rsidR="00E5422E" w:rsidRDefault="00E5422E" w:rsidP="00E5422E">
      <w:pPr>
        <w:pStyle w:val="BodyText"/>
        <w:rPr>
          <w:lang w:val="en-US"/>
        </w:rPr>
      </w:pPr>
      <w:r>
        <w:rPr>
          <w:lang w:val="en-US"/>
        </w:rPr>
        <w:t xml:space="preserve">The SN length can be </w:t>
      </w:r>
      <w:r w:rsidR="00E917EE">
        <w:rPr>
          <w:lang w:val="en-US"/>
        </w:rPr>
        <w:t xml:space="preserve">changed </w:t>
      </w:r>
      <w:r>
        <w:rPr>
          <w:lang w:val="en-US"/>
        </w:rPr>
        <w:t xml:space="preserve">without any issues when the new SN length is larger than the initially configured. On the other hand, reconfigurations which lead to a SN length shorter than the initially configured, should </w:t>
      </w:r>
      <w:r w:rsidR="00E917EE">
        <w:rPr>
          <w:lang w:val="en-US"/>
        </w:rPr>
        <w:t>be done with “</w:t>
      </w:r>
      <w:r>
        <w:rPr>
          <w:lang w:val="en-US"/>
        </w:rPr>
        <w:t>full configuration</w:t>
      </w:r>
      <w:r w:rsidR="00E917EE">
        <w:rPr>
          <w:lang w:val="en-US"/>
        </w:rPr>
        <w:t>”</w:t>
      </w:r>
      <w:r>
        <w:rPr>
          <w:lang w:val="en-US"/>
        </w:rPr>
        <w:t xml:space="preserve">. </w:t>
      </w:r>
      <w:r w:rsidR="005056F1">
        <w:rPr>
          <w:lang w:val="en-US"/>
        </w:rPr>
        <w:t>This procedure is sub-optimal and it</w:t>
      </w:r>
      <w:r>
        <w:rPr>
          <w:lang w:val="en-US"/>
        </w:rPr>
        <w:t xml:space="preserve"> implies that data in the PDCP layer </w:t>
      </w:r>
      <w:r w:rsidR="005056F1">
        <w:rPr>
          <w:lang w:val="en-US"/>
        </w:rPr>
        <w:t>may be lost.</w:t>
      </w:r>
    </w:p>
    <w:p w14:paraId="160C1A02" w14:textId="00BC0062" w:rsidR="00BB6EAA" w:rsidRDefault="00BB6EAA" w:rsidP="00BB6EAA">
      <w:pPr>
        <w:pStyle w:val="BodyText"/>
        <w:rPr>
          <w:lang w:val="en-US"/>
        </w:rPr>
      </w:pPr>
      <w:r>
        <w:rPr>
          <w:lang w:val="en-US"/>
        </w:rPr>
        <w:t xml:space="preserve">A simple way to mitigate the effect of reconfiguring the SN length to a lower value </w:t>
      </w:r>
      <w:r w:rsidR="004816CC">
        <w:rPr>
          <w:lang w:val="en-US"/>
        </w:rPr>
        <w:t xml:space="preserve">is by </w:t>
      </w:r>
      <w:r w:rsidRPr="00BB6EAA">
        <w:rPr>
          <w:lang w:val="en-US"/>
        </w:rPr>
        <w:t>discard</w:t>
      </w:r>
      <w:r>
        <w:rPr>
          <w:lang w:val="en-US"/>
        </w:rPr>
        <w:t>ing</w:t>
      </w:r>
      <w:r w:rsidRPr="00BB6EAA">
        <w:rPr>
          <w:lang w:val="en-US"/>
        </w:rPr>
        <w:t xml:space="preserve"> </w:t>
      </w:r>
      <w:r w:rsidR="004816CC">
        <w:rPr>
          <w:lang w:val="en-US"/>
        </w:rPr>
        <w:t xml:space="preserve">for UL transmissions </w:t>
      </w:r>
      <w:r w:rsidRPr="00BB6EAA">
        <w:rPr>
          <w:lang w:val="en-US"/>
        </w:rPr>
        <w:t>any PDCP SDU(s)</w:t>
      </w:r>
      <w:r w:rsidR="004816CC">
        <w:rPr>
          <w:lang w:val="en-US"/>
        </w:rPr>
        <w:t xml:space="preserve"> </w:t>
      </w:r>
      <w:r w:rsidRPr="00BB6EAA">
        <w:rPr>
          <w:lang w:val="en-US"/>
        </w:rPr>
        <w:t xml:space="preserve">that </w:t>
      </w:r>
      <w:r>
        <w:rPr>
          <w:lang w:val="en-US"/>
        </w:rPr>
        <w:t xml:space="preserve">is </w:t>
      </w:r>
      <w:r w:rsidRPr="00BB6EAA">
        <w:rPr>
          <w:lang w:val="en-US"/>
        </w:rPr>
        <w:t xml:space="preserve">older than </w:t>
      </w:r>
      <w:r>
        <w:rPr>
          <w:lang w:val="en-US"/>
        </w:rPr>
        <w:t xml:space="preserve">the </w:t>
      </w:r>
      <w:r w:rsidR="008A52DC">
        <w:rPr>
          <w:lang w:val="en-US"/>
        </w:rPr>
        <w:t xml:space="preserve">(new) </w:t>
      </w:r>
      <w:r>
        <w:rPr>
          <w:lang w:val="en-US"/>
        </w:rPr>
        <w:t xml:space="preserve">SN window size </w:t>
      </w:r>
      <w:r w:rsidRPr="00BB6EAA">
        <w:rPr>
          <w:lang w:val="en-US"/>
        </w:rPr>
        <w:t>compared with the most</w:t>
      </w:r>
      <w:r>
        <w:rPr>
          <w:lang w:val="en-US"/>
        </w:rPr>
        <w:t xml:space="preserve"> recent assigned SN.</w:t>
      </w:r>
      <w:r w:rsidR="00E917EE">
        <w:rPr>
          <w:lang w:val="en-US"/>
        </w:rPr>
        <w:t xml:space="preserve"> </w:t>
      </w:r>
      <w:r w:rsidR="004816CC">
        <w:rPr>
          <w:lang w:val="en-US"/>
        </w:rPr>
        <w:t xml:space="preserve">In the downlink, though, the UE would need to forward to higher layers any PDU which </w:t>
      </w:r>
      <w:r w:rsidR="00F145A8">
        <w:rPr>
          <w:lang w:val="en-US"/>
        </w:rPr>
        <w:t xml:space="preserve">has </w:t>
      </w:r>
      <w:r w:rsidR="004816CC">
        <w:rPr>
          <w:lang w:val="en-US"/>
        </w:rPr>
        <w:t xml:space="preserve">a </w:t>
      </w:r>
      <w:r w:rsidR="004816CC">
        <w:rPr>
          <w:lang w:val="en-US"/>
        </w:rPr>
        <w:lastRenderedPageBreak/>
        <w:t>SN number value larger than the new</w:t>
      </w:r>
      <w:r w:rsidR="00F145A8">
        <w:rPr>
          <w:lang w:val="en-US"/>
        </w:rPr>
        <w:t>ly</w:t>
      </w:r>
      <w:r w:rsidR="004816CC">
        <w:rPr>
          <w:lang w:val="en-US"/>
        </w:rPr>
        <w:t xml:space="preserve"> configured window size. In other words</w:t>
      </w:r>
      <w:r w:rsidR="00F145A8">
        <w:rPr>
          <w:lang w:val="en-US"/>
        </w:rPr>
        <w:t xml:space="preserve"> if the SN length initially was 15 bits which supports up to 32769 SNs but is then changed to 12 bits which only supports 4096 SNs</w:t>
      </w:r>
      <w:r w:rsidR="004816CC">
        <w:rPr>
          <w:lang w:val="en-US"/>
        </w:rPr>
        <w:t xml:space="preserve">, if the UE had PDUs with SN [4000 – </w:t>
      </w:r>
      <w:r w:rsidR="00D8730B">
        <w:rPr>
          <w:lang w:val="en-US"/>
        </w:rPr>
        <w:t>90</w:t>
      </w:r>
      <w:r w:rsidR="004816CC">
        <w:rPr>
          <w:lang w:val="en-US"/>
        </w:rPr>
        <w:t xml:space="preserve">00] for transmissions, the </w:t>
      </w:r>
      <w:r w:rsidR="00D8730B">
        <w:rPr>
          <w:lang w:val="en-US"/>
        </w:rPr>
        <w:t xml:space="preserve">UE only keeps </w:t>
      </w:r>
      <w:r w:rsidR="008A52DC">
        <w:rPr>
          <w:lang w:val="en-US"/>
        </w:rPr>
        <w:t xml:space="preserve">at most </w:t>
      </w:r>
      <w:r w:rsidR="004816CC">
        <w:rPr>
          <w:lang w:val="en-US"/>
        </w:rPr>
        <w:t xml:space="preserve">4096 </w:t>
      </w:r>
      <w:r w:rsidR="00D8730B">
        <w:rPr>
          <w:lang w:val="en-US"/>
        </w:rPr>
        <w:t xml:space="preserve">PDUs </w:t>
      </w:r>
      <w:r w:rsidR="008A52DC">
        <w:rPr>
          <w:lang w:val="en-US"/>
        </w:rPr>
        <w:t xml:space="preserve">and </w:t>
      </w:r>
      <w:r w:rsidR="00D8730B">
        <w:rPr>
          <w:lang w:val="en-US"/>
        </w:rPr>
        <w:t>discards the rest. For example, the UE could keep [</w:t>
      </w:r>
      <w:r w:rsidR="004816CC">
        <w:rPr>
          <w:lang w:val="en-US"/>
        </w:rPr>
        <w:t xml:space="preserve">4000 – </w:t>
      </w:r>
      <w:r w:rsidR="00D8730B">
        <w:rPr>
          <w:lang w:val="en-US"/>
        </w:rPr>
        <w:t>8</w:t>
      </w:r>
      <w:r w:rsidR="004816CC">
        <w:rPr>
          <w:lang w:val="en-US"/>
        </w:rPr>
        <w:t>095]</w:t>
      </w:r>
      <w:r w:rsidR="00D8730B">
        <w:rPr>
          <w:lang w:val="en-US"/>
        </w:rPr>
        <w:t>, and discard the rest.</w:t>
      </w:r>
      <w:r w:rsidR="004816CC">
        <w:rPr>
          <w:lang w:val="en-US"/>
        </w:rPr>
        <w:t xml:space="preserve"> </w:t>
      </w:r>
    </w:p>
    <w:p w14:paraId="4D4FE0C6" w14:textId="77777777" w:rsidR="00E5422E" w:rsidRDefault="00E5422E" w:rsidP="00E5422E">
      <w:pPr>
        <w:pStyle w:val="BodyText"/>
        <w:rPr>
          <w:lang w:val="en-US"/>
        </w:rPr>
      </w:pPr>
    </w:p>
    <w:p w14:paraId="0C6EE998" w14:textId="591EB7E4" w:rsidR="00E5422E" w:rsidRPr="00124F5D" w:rsidRDefault="00E5422E" w:rsidP="00E5422E">
      <w:pPr>
        <w:pStyle w:val="Proposal"/>
        <w:rPr>
          <w:lang w:val="en-US"/>
        </w:rPr>
      </w:pPr>
      <w:bookmarkStart w:id="15" w:name="_Toc462315880"/>
      <w:bookmarkStart w:id="16" w:name="_Toc462412183"/>
      <w:bookmarkStart w:id="17" w:name="_Toc462639139"/>
      <w:bookmarkStart w:id="18" w:name="_Toc462997237"/>
      <w:r>
        <w:rPr>
          <w:lang w:val="en-US"/>
        </w:rPr>
        <w:t xml:space="preserve">Investigate mechanisms to avoid or reduce losing data when </w:t>
      </w:r>
      <w:r w:rsidR="008A52DC">
        <w:rPr>
          <w:lang w:val="en-US"/>
        </w:rPr>
        <w:t xml:space="preserve">reducing </w:t>
      </w:r>
      <w:r>
        <w:rPr>
          <w:lang w:val="en-US"/>
        </w:rPr>
        <w:t>the SN length</w:t>
      </w:r>
      <w:bookmarkEnd w:id="15"/>
      <w:bookmarkEnd w:id="16"/>
      <w:bookmarkEnd w:id="17"/>
      <w:bookmarkEnd w:id="18"/>
      <w:r w:rsidR="008A52DC">
        <w:rPr>
          <w:lang w:val="en-US"/>
        </w:rPr>
        <w:t>.</w:t>
      </w:r>
    </w:p>
    <w:p w14:paraId="7ED067BD" w14:textId="77777777" w:rsidR="00E5422E" w:rsidRDefault="00E5422E" w:rsidP="00D40929">
      <w:pPr>
        <w:rPr>
          <w:lang w:val="en-US"/>
        </w:rPr>
      </w:pPr>
    </w:p>
    <w:p w14:paraId="4D8146B9" w14:textId="5214B0D3" w:rsidR="00D40929" w:rsidRDefault="00D40929" w:rsidP="00D40929">
      <w:pPr>
        <w:rPr>
          <w:lang w:val="en-US"/>
        </w:rPr>
      </w:pPr>
      <w:r>
        <w:rPr>
          <w:lang w:val="en-US"/>
        </w:rPr>
        <w:t>In LTE, high PDCP SN length values were only specified for those data bearers mapped onto RLC AM. The reason argued in 3GPP by some companies to exclude the support PDCP SN of 15 or 18 bits for RLC UM is that most of the services which transmit little data are mapped over RLC UM e.g. voice.</w:t>
      </w:r>
    </w:p>
    <w:p w14:paraId="229AE1F0" w14:textId="77777777" w:rsidR="00D40929" w:rsidRDefault="00D40929" w:rsidP="00D40929">
      <w:pPr>
        <w:rPr>
          <w:lang w:val="en-US"/>
        </w:rPr>
      </w:pPr>
      <w:r>
        <w:rPr>
          <w:lang w:val="en-US"/>
        </w:rPr>
        <w:t>In 5G, many more services are expected to be supported. However, it is not possible to predict whether these services may require high bit rates or whether they may need to run on e.g. AM or UM mode.</w:t>
      </w:r>
    </w:p>
    <w:p w14:paraId="73830DC8" w14:textId="3CCEFA99" w:rsidR="00D40929" w:rsidRDefault="00D40929" w:rsidP="00D40929">
      <w:pPr>
        <w:rPr>
          <w:lang w:val="en-US"/>
        </w:rPr>
      </w:pPr>
      <w:r>
        <w:rPr>
          <w:lang w:val="en-US"/>
        </w:rPr>
        <w:t>Following the same path as in LTE (i.e. increasing the SN space for only AM) might hamper the introduction of future services to be supported by NR. If the complexity of supporting these values for both AM and UM does not increase compared to the complexity of implementing it only for AM, it would be then beneficial to support them for both cases.</w:t>
      </w:r>
    </w:p>
    <w:p w14:paraId="6B709D51" w14:textId="3E466B93" w:rsidR="000B014B" w:rsidRDefault="000B014B" w:rsidP="00D40929">
      <w:pPr>
        <w:rPr>
          <w:lang w:val="en-US"/>
        </w:rPr>
      </w:pPr>
      <w:r>
        <w:rPr>
          <w:lang w:val="en-US"/>
        </w:rPr>
        <w:t xml:space="preserve">In addition, 3GPP is still discussing the HARQ details for NR, and whether 2-ARQ layers are needed (HARQ and RLC ARQ). The details of all these aspects are still uncertain. It might be the case that HARQ is very robust so that data bearers could be configured on RLC UM. If that was the case, then PDCP SN values should be supported for both </w:t>
      </w:r>
      <w:r w:rsidR="008A52DC">
        <w:rPr>
          <w:lang w:val="en-US"/>
        </w:rPr>
        <w:t>AM and UM</w:t>
      </w:r>
      <w:r>
        <w:rPr>
          <w:lang w:val="en-US"/>
        </w:rPr>
        <w:t>.</w:t>
      </w:r>
    </w:p>
    <w:p w14:paraId="25F26B21" w14:textId="77777777" w:rsidR="00D40929" w:rsidRDefault="00D40929" w:rsidP="00D40929">
      <w:pPr>
        <w:rPr>
          <w:lang w:val="en-US"/>
        </w:rPr>
      </w:pPr>
    </w:p>
    <w:p w14:paraId="05B4A50D" w14:textId="5C8DD44D" w:rsidR="00D40929" w:rsidRDefault="000B014B" w:rsidP="00CC2E61">
      <w:pPr>
        <w:pStyle w:val="Proposal"/>
        <w:rPr>
          <w:lang w:val="en-US"/>
        </w:rPr>
      </w:pPr>
      <w:bookmarkStart w:id="19" w:name="_Toc462315881"/>
      <w:bookmarkStart w:id="20" w:name="_Toc462412184"/>
      <w:bookmarkStart w:id="21" w:name="_Toc462639140"/>
      <w:bookmarkStart w:id="22" w:name="_Toc462997238"/>
      <w:r>
        <w:rPr>
          <w:lang w:val="en-US"/>
        </w:rPr>
        <w:t>As a baseline, all</w:t>
      </w:r>
      <w:r w:rsidR="00AE71E2">
        <w:rPr>
          <w:lang w:val="en-US"/>
        </w:rPr>
        <w:t xml:space="preserve"> agreed</w:t>
      </w:r>
      <w:r>
        <w:rPr>
          <w:lang w:val="en-US"/>
        </w:rPr>
        <w:t xml:space="preserve"> </w:t>
      </w:r>
      <w:r w:rsidR="00D40929">
        <w:rPr>
          <w:lang w:val="en-US"/>
        </w:rPr>
        <w:t xml:space="preserve">PDCP SN length values should be supported for data bearers mapped on RLC AM </w:t>
      </w:r>
      <w:r w:rsidR="009E08D3">
        <w:rPr>
          <w:lang w:val="en-US"/>
        </w:rPr>
        <w:t>and on RLC</w:t>
      </w:r>
      <w:r w:rsidR="00D40929">
        <w:rPr>
          <w:lang w:val="en-US"/>
        </w:rPr>
        <w:t xml:space="preserve"> UM.</w:t>
      </w:r>
      <w:bookmarkEnd w:id="19"/>
      <w:bookmarkEnd w:id="20"/>
      <w:bookmarkEnd w:id="21"/>
      <w:bookmarkEnd w:id="22"/>
    </w:p>
    <w:p w14:paraId="7CAC0DC5" w14:textId="77777777" w:rsidR="003742AC" w:rsidRPr="00CE0424" w:rsidRDefault="003742AC" w:rsidP="006E062C"/>
    <w:p w14:paraId="6F993EEA" w14:textId="77777777" w:rsidR="00C01F33" w:rsidRPr="00CE0424" w:rsidRDefault="00C01F33" w:rsidP="00CE0424">
      <w:pPr>
        <w:pStyle w:val="Heading1"/>
      </w:pPr>
      <w:r w:rsidRPr="00CE0424">
        <w:t>Conclusion</w:t>
      </w:r>
    </w:p>
    <w:p w14:paraId="2308FA47" w14:textId="77777777" w:rsidR="008E065E" w:rsidRDefault="008E065E" w:rsidP="00311702">
      <w:r>
        <w:t xml:space="preserve">Here there are two lists, one listing observations, and one listing proposals. Listing observations are not always needed, but listing proposals are always useful. To update a list, place the cursor inside the list and press F9. </w:t>
      </w:r>
    </w:p>
    <w:p w14:paraId="40D177C2" w14:textId="60B9F442" w:rsidR="00EE460D" w:rsidRDefault="008E065E" w:rsidP="00CC2E61">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00EE460D">
        <w:rPr>
          <w:highlight w:val="cyan"/>
        </w:rPr>
        <w:instrText xml:space="preserve"> \* MERGEFORMAT </w:instrText>
      </w:r>
      <w:r w:rsidRPr="00CE0424">
        <w:rPr>
          <w:highlight w:val="cyan"/>
        </w:rPr>
      </w:r>
      <w:r w:rsidRPr="00CE0424">
        <w:rPr>
          <w:highlight w:val="cyan"/>
        </w:rPr>
        <w:fldChar w:fldCharType="separate"/>
      </w:r>
      <w:r w:rsidR="00B42BDB">
        <w:t>2</w:t>
      </w:r>
      <w:r w:rsidRPr="00CE0424">
        <w:rPr>
          <w:highlight w:val="cyan"/>
        </w:rPr>
        <w:fldChar w:fldCharType="end"/>
      </w:r>
      <w:r w:rsidRPr="00CE0424">
        <w:t xml:space="preserve"> we propose the following:</w:t>
      </w:r>
    </w:p>
    <w:p w14:paraId="3D4E3CE7" w14:textId="77777777" w:rsidR="00EF731F" w:rsidRDefault="008E065E">
      <w:pPr>
        <w:pStyle w:val="TOC1"/>
        <w:rPr>
          <w:rFonts w:asciiTheme="minorHAnsi"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EF731F">
        <w:t>Proposal 1</w:t>
      </w:r>
      <w:r w:rsidR="00EF731F">
        <w:rPr>
          <w:rFonts w:asciiTheme="minorHAnsi" w:hAnsiTheme="minorHAnsi" w:cstheme="minorBidi"/>
          <w:b w:val="0"/>
          <w:sz w:val="22"/>
          <w:lang w:eastAsia="en-US"/>
        </w:rPr>
        <w:tab/>
      </w:r>
      <w:r w:rsidR="00EF731F">
        <w:t>PDCP should support PDCP SDU sizes of up to 65533 bytes (considering 3 bytes of PDCP headers)</w:t>
      </w:r>
    </w:p>
    <w:p w14:paraId="7D8331FF" w14:textId="77777777" w:rsidR="00EF731F" w:rsidRDefault="00EF731F">
      <w:pPr>
        <w:pStyle w:val="TOC1"/>
        <w:rPr>
          <w:rFonts w:asciiTheme="minorHAnsi" w:hAnsiTheme="minorHAnsi" w:cstheme="minorBidi"/>
          <w:b w:val="0"/>
          <w:sz w:val="22"/>
          <w:lang w:eastAsia="en-US"/>
        </w:rPr>
      </w:pPr>
      <w:r w:rsidRPr="006E40FC">
        <w:t>Proposal 2</w:t>
      </w:r>
      <w:r>
        <w:rPr>
          <w:rFonts w:asciiTheme="minorHAnsi" w:hAnsiTheme="minorHAnsi" w:cstheme="minorBidi"/>
          <w:b w:val="0"/>
          <w:sz w:val="22"/>
          <w:lang w:eastAsia="en-US"/>
        </w:rPr>
        <w:tab/>
      </w:r>
      <w:r w:rsidRPr="006E40FC">
        <w:t>PDCP SN length should be up to 18 bits (for data bearer)</w:t>
      </w:r>
    </w:p>
    <w:p w14:paraId="2D21F9CD" w14:textId="77777777" w:rsidR="00EF731F" w:rsidRDefault="00EF731F">
      <w:pPr>
        <w:pStyle w:val="TOC1"/>
        <w:rPr>
          <w:rFonts w:asciiTheme="minorHAnsi" w:hAnsiTheme="minorHAnsi" w:cstheme="minorBidi"/>
          <w:b w:val="0"/>
          <w:sz w:val="22"/>
          <w:lang w:eastAsia="en-US"/>
        </w:rPr>
      </w:pPr>
      <w:r w:rsidRPr="006E40FC">
        <w:t>Proposal 3</w:t>
      </w:r>
      <w:r>
        <w:rPr>
          <w:rFonts w:asciiTheme="minorHAnsi" w:hAnsiTheme="minorHAnsi" w:cstheme="minorBidi"/>
          <w:b w:val="0"/>
          <w:sz w:val="22"/>
          <w:lang w:eastAsia="en-US"/>
        </w:rPr>
        <w:tab/>
      </w:r>
      <w:r w:rsidRPr="006E40FC">
        <w:t>Discuss whether NR should support all PDCP SN length values (for data bearers) as in LTE or only a subset to simplify.</w:t>
      </w:r>
    </w:p>
    <w:p w14:paraId="0B78F22F" w14:textId="77777777" w:rsidR="00EF731F" w:rsidRDefault="00EF731F">
      <w:pPr>
        <w:pStyle w:val="TOC1"/>
        <w:rPr>
          <w:rFonts w:asciiTheme="minorHAnsi" w:hAnsiTheme="minorHAnsi" w:cstheme="minorBidi"/>
          <w:b w:val="0"/>
          <w:sz w:val="22"/>
          <w:lang w:eastAsia="en-US"/>
        </w:rPr>
      </w:pPr>
      <w:r w:rsidRPr="006E40FC">
        <w:t>Proposal 4</w:t>
      </w:r>
      <w:r>
        <w:rPr>
          <w:rFonts w:asciiTheme="minorHAnsi" w:hAnsiTheme="minorHAnsi" w:cstheme="minorBidi"/>
          <w:b w:val="0"/>
          <w:sz w:val="22"/>
          <w:lang w:eastAsia="en-US"/>
        </w:rPr>
        <w:tab/>
      </w:r>
      <w:r w:rsidRPr="006E40FC">
        <w:t>Investigate mechanisms to avoid or reduce losing data when changing the SN length</w:t>
      </w:r>
    </w:p>
    <w:p w14:paraId="39EFBE34" w14:textId="77777777" w:rsidR="00EF731F" w:rsidRDefault="00EF731F">
      <w:pPr>
        <w:pStyle w:val="TOC1"/>
        <w:rPr>
          <w:rFonts w:asciiTheme="minorHAnsi" w:hAnsiTheme="minorHAnsi" w:cstheme="minorBidi"/>
          <w:b w:val="0"/>
          <w:sz w:val="22"/>
          <w:lang w:eastAsia="en-US"/>
        </w:rPr>
      </w:pPr>
      <w:r w:rsidRPr="006E40FC">
        <w:t>Proposal 5</w:t>
      </w:r>
      <w:r>
        <w:rPr>
          <w:rFonts w:asciiTheme="minorHAnsi" w:hAnsiTheme="minorHAnsi" w:cstheme="minorBidi"/>
          <w:b w:val="0"/>
          <w:sz w:val="22"/>
          <w:lang w:eastAsia="en-US"/>
        </w:rPr>
        <w:tab/>
      </w:r>
      <w:r w:rsidRPr="006E40FC">
        <w:t>As a baseline, all agreed PDCP SN length values should be supported for data bearers mapped on RLC AM and on RLC UM.</w:t>
      </w:r>
    </w:p>
    <w:p w14:paraId="29F87987" w14:textId="0DC68D37" w:rsidR="0054788F" w:rsidRPr="0054788F" w:rsidRDefault="008E065E" w:rsidP="0054788F">
      <w:pPr>
        <w:rPr>
          <w:b/>
          <w:bCs/>
        </w:rPr>
      </w:pPr>
      <w:r>
        <w:rPr>
          <w:b/>
          <w:bCs/>
        </w:rPr>
        <w:fldChar w:fldCharType="end"/>
      </w:r>
      <w:bookmarkStart w:id="23" w:name="_In-sequence_SDU_delivery"/>
      <w:bookmarkEnd w:id="23"/>
    </w:p>
    <w:sectPr w:rsidR="0054788F" w:rsidRPr="0054788F">
      <w:headerReference w:type="even" r:id="rId8"/>
      <w:headerReference w:type="default"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F137C" w14:textId="77777777" w:rsidR="00DB228E" w:rsidRDefault="00DB228E">
      <w:r>
        <w:separator/>
      </w:r>
    </w:p>
  </w:endnote>
  <w:endnote w:type="continuationSeparator" w:id="0">
    <w:p w14:paraId="22BB3385" w14:textId="77777777" w:rsidR="00DB228E" w:rsidRDefault="00DB228E">
      <w:r>
        <w:continuationSeparator/>
      </w:r>
    </w:p>
  </w:endnote>
  <w:endnote w:type="continuationNotice" w:id="1">
    <w:p w14:paraId="547106B6" w14:textId="77777777" w:rsidR="00DB228E" w:rsidRDefault="00DB22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2300D9" w14:textId="61D7BB9D" w:rsidR="00F145A8" w:rsidRDefault="00F145A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83A8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83A8F">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6F3D18" w14:textId="77777777" w:rsidR="00DB228E" w:rsidRDefault="00DB228E">
      <w:r>
        <w:separator/>
      </w:r>
    </w:p>
  </w:footnote>
  <w:footnote w:type="continuationSeparator" w:id="0">
    <w:p w14:paraId="607B8234" w14:textId="77777777" w:rsidR="00DB228E" w:rsidRDefault="00DB228E">
      <w:r>
        <w:continuationSeparator/>
      </w:r>
    </w:p>
  </w:footnote>
  <w:footnote w:type="continuationNotice" w:id="1">
    <w:p w14:paraId="73D610DB" w14:textId="77777777" w:rsidR="00DB228E" w:rsidRDefault="00DB22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3D207" w14:textId="77777777" w:rsidR="00F145A8" w:rsidRDefault="00F145A8">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D400F1" w14:textId="77777777" w:rsidR="00F145A8" w:rsidRDefault="00F145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B8345B6"/>
    <w:multiLevelType w:val="hybridMultilevel"/>
    <w:tmpl w:val="E8186EDE"/>
    <w:lvl w:ilvl="0" w:tplc="7FF66400">
      <w:start w:val="2"/>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6D04C2"/>
    <w:multiLevelType w:val="hybridMultilevel"/>
    <w:tmpl w:val="67081F62"/>
    <w:lvl w:ilvl="0" w:tplc="A63E1D82">
      <w:start w:val="4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017204"/>
    <w:multiLevelType w:val="hybridMultilevel"/>
    <w:tmpl w:val="A114E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7"/>
  </w:num>
  <w:num w:numId="10">
    <w:abstractNumId w:val="2"/>
  </w:num>
  <w:num w:numId="11">
    <w:abstractNumId w:val="1"/>
  </w:num>
  <w:num w:numId="12">
    <w:abstractNumId w:val="0"/>
  </w:num>
  <w:num w:numId="13">
    <w:abstractNumId w:val="14"/>
  </w:num>
  <w:num w:numId="14">
    <w:abstractNumId w:val="6"/>
  </w:num>
  <w:num w:numId="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16"/>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6446"/>
    <w:rsid w:val="00006896"/>
    <w:rsid w:val="00006B58"/>
    <w:rsid w:val="00007CDC"/>
    <w:rsid w:val="00007F4A"/>
    <w:rsid w:val="00011B28"/>
    <w:rsid w:val="00013773"/>
    <w:rsid w:val="00015D15"/>
    <w:rsid w:val="0002564D"/>
    <w:rsid w:val="00025ECA"/>
    <w:rsid w:val="00025FEC"/>
    <w:rsid w:val="00027939"/>
    <w:rsid w:val="000325B8"/>
    <w:rsid w:val="00034C15"/>
    <w:rsid w:val="00036BA1"/>
    <w:rsid w:val="00041343"/>
    <w:rsid w:val="000422E2"/>
    <w:rsid w:val="00042F22"/>
    <w:rsid w:val="000444EF"/>
    <w:rsid w:val="000451F8"/>
    <w:rsid w:val="00052A07"/>
    <w:rsid w:val="000534E3"/>
    <w:rsid w:val="0005606A"/>
    <w:rsid w:val="00057117"/>
    <w:rsid w:val="00060675"/>
    <w:rsid w:val="000616E7"/>
    <w:rsid w:val="0006487E"/>
    <w:rsid w:val="00065E1A"/>
    <w:rsid w:val="0006754C"/>
    <w:rsid w:val="000741DA"/>
    <w:rsid w:val="00077E5F"/>
    <w:rsid w:val="0008036A"/>
    <w:rsid w:val="00081AE6"/>
    <w:rsid w:val="000855EB"/>
    <w:rsid w:val="00085B52"/>
    <w:rsid w:val="000866F2"/>
    <w:rsid w:val="0009009F"/>
    <w:rsid w:val="000910DA"/>
    <w:rsid w:val="00091557"/>
    <w:rsid w:val="000924C1"/>
    <w:rsid w:val="000924F0"/>
    <w:rsid w:val="00093474"/>
    <w:rsid w:val="0009510F"/>
    <w:rsid w:val="000A1B7B"/>
    <w:rsid w:val="000A56F2"/>
    <w:rsid w:val="000B014B"/>
    <w:rsid w:val="000B2719"/>
    <w:rsid w:val="000B3A8F"/>
    <w:rsid w:val="000B4AB9"/>
    <w:rsid w:val="000B58C3"/>
    <w:rsid w:val="000B61E9"/>
    <w:rsid w:val="000C165A"/>
    <w:rsid w:val="000C2E19"/>
    <w:rsid w:val="000D0D07"/>
    <w:rsid w:val="000D2F35"/>
    <w:rsid w:val="000D4797"/>
    <w:rsid w:val="000E0527"/>
    <w:rsid w:val="000E1E92"/>
    <w:rsid w:val="000E7502"/>
    <w:rsid w:val="000F06D6"/>
    <w:rsid w:val="000F0EB1"/>
    <w:rsid w:val="000F1106"/>
    <w:rsid w:val="000F3BE9"/>
    <w:rsid w:val="000F3F6C"/>
    <w:rsid w:val="000F62EE"/>
    <w:rsid w:val="000F6DF3"/>
    <w:rsid w:val="001005FF"/>
    <w:rsid w:val="00100DAA"/>
    <w:rsid w:val="001062FB"/>
    <w:rsid w:val="001063E6"/>
    <w:rsid w:val="00107F51"/>
    <w:rsid w:val="00112A42"/>
    <w:rsid w:val="00113CF4"/>
    <w:rsid w:val="00114ED7"/>
    <w:rsid w:val="001153EA"/>
    <w:rsid w:val="00115643"/>
    <w:rsid w:val="00116765"/>
    <w:rsid w:val="001219F5"/>
    <w:rsid w:val="00121A20"/>
    <w:rsid w:val="00122404"/>
    <w:rsid w:val="00122F2E"/>
    <w:rsid w:val="0012377F"/>
    <w:rsid w:val="00124314"/>
    <w:rsid w:val="00125114"/>
    <w:rsid w:val="00126B4A"/>
    <w:rsid w:val="00132FD0"/>
    <w:rsid w:val="001344C0"/>
    <w:rsid w:val="001346FA"/>
    <w:rsid w:val="00134AAB"/>
    <w:rsid w:val="00135252"/>
    <w:rsid w:val="00137AB5"/>
    <w:rsid w:val="00137F0B"/>
    <w:rsid w:val="001473B9"/>
    <w:rsid w:val="00151E23"/>
    <w:rsid w:val="001526E0"/>
    <w:rsid w:val="00153A67"/>
    <w:rsid w:val="001551B5"/>
    <w:rsid w:val="001643A8"/>
    <w:rsid w:val="001659C1"/>
    <w:rsid w:val="00170639"/>
    <w:rsid w:val="00173A8E"/>
    <w:rsid w:val="00177795"/>
    <w:rsid w:val="0018143F"/>
    <w:rsid w:val="00185122"/>
    <w:rsid w:val="00190AC1"/>
    <w:rsid w:val="00192871"/>
    <w:rsid w:val="0019341A"/>
    <w:rsid w:val="00195D63"/>
    <w:rsid w:val="00197DF9"/>
    <w:rsid w:val="001A1987"/>
    <w:rsid w:val="001A2564"/>
    <w:rsid w:val="001A2968"/>
    <w:rsid w:val="001A6173"/>
    <w:rsid w:val="001A6CBA"/>
    <w:rsid w:val="001A7DEB"/>
    <w:rsid w:val="001B0D97"/>
    <w:rsid w:val="001B2535"/>
    <w:rsid w:val="001B5A5D"/>
    <w:rsid w:val="001C1CE5"/>
    <w:rsid w:val="001C3D2A"/>
    <w:rsid w:val="001C6495"/>
    <w:rsid w:val="001C7EFE"/>
    <w:rsid w:val="001D51BA"/>
    <w:rsid w:val="001D6342"/>
    <w:rsid w:val="001D6D53"/>
    <w:rsid w:val="001E58E2"/>
    <w:rsid w:val="001E7AED"/>
    <w:rsid w:val="001F1E3E"/>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7960"/>
    <w:rsid w:val="00230765"/>
    <w:rsid w:val="002319E4"/>
    <w:rsid w:val="00233850"/>
    <w:rsid w:val="00235632"/>
    <w:rsid w:val="00235872"/>
    <w:rsid w:val="00241559"/>
    <w:rsid w:val="002435B3"/>
    <w:rsid w:val="00244CC3"/>
    <w:rsid w:val="002458EB"/>
    <w:rsid w:val="002500C8"/>
    <w:rsid w:val="002504EF"/>
    <w:rsid w:val="00251427"/>
    <w:rsid w:val="00254210"/>
    <w:rsid w:val="00257543"/>
    <w:rsid w:val="002617E7"/>
    <w:rsid w:val="00261FC8"/>
    <w:rsid w:val="002624BD"/>
    <w:rsid w:val="00264228"/>
    <w:rsid w:val="00264334"/>
    <w:rsid w:val="002645BA"/>
    <w:rsid w:val="0026473E"/>
    <w:rsid w:val="00264A7E"/>
    <w:rsid w:val="00266214"/>
    <w:rsid w:val="00267C83"/>
    <w:rsid w:val="0027144F"/>
    <w:rsid w:val="00271F3A"/>
    <w:rsid w:val="00273278"/>
    <w:rsid w:val="002737F4"/>
    <w:rsid w:val="002805F5"/>
    <w:rsid w:val="00280751"/>
    <w:rsid w:val="0028280A"/>
    <w:rsid w:val="00283A8F"/>
    <w:rsid w:val="00286ACD"/>
    <w:rsid w:val="00287838"/>
    <w:rsid w:val="00287869"/>
    <w:rsid w:val="002907B5"/>
    <w:rsid w:val="00292EB7"/>
    <w:rsid w:val="0029315F"/>
    <w:rsid w:val="00296227"/>
    <w:rsid w:val="00296F44"/>
    <w:rsid w:val="0029777D"/>
    <w:rsid w:val="002A055E"/>
    <w:rsid w:val="002A1D4E"/>
    <w:rsid w:val="002A2869"/>
    <w:rsid w:val="002A35BA"/>
    <w:rsid w:val="002B24D6"/>
    <w:rsid w:val="002B4C0A"/>
    <w:rsid w:val="002C41E6"/>
    <w:rsid w:val="002D071A"/>
    <w:rsid w:val="002D34B2"/>
    <w:rsid w:val="002D7637"/>
    <w:rsid w:val="002E17F2"/>
    <w:rsid w:val="002E7CAE"/>
    <w:rsid w:val="002F2771"/>
    <w:rsid w:val="002F29B0"/>
    <w:rsid w:val="002F37A9"/>
    <w:rsid w:val="00301CE6"/>
    <w:rsid w:val="0030256B"/>
    <w:rsid w:val="0030501F"/>
    <w:rsid w:val="00307BA1"/>
    <w:rsid w:val="00311702"/>
    <w:rsid w:val="00311E82"/>
    <w:rsid w:val="00313FD6"/>
    <w:rsid w:val="003143BD"/>
    <w:rsid w:val="00317B01"/>
    <w:rsid w:val="003203ED"/>
    <w:rsid w:val="00322C9F"/>
    <w:rsid w:val="00324D23"/>
    <w:rsid w:val="0032703C"/>
    <w:rsid w:val="00331751"/>
    <w:rsid w:val="00334579"/>
    <w:rsid w:val="00335858"/>
    <w:rsid w:val="00336BDA"/>
    <w:rsid w:val="00342BD7"/>
    <w:rsid w:val="00343A07"/>
    <w:rsid w:val="00344FA2"/>
    <w:rsid w:val="00346DB5"/>
    <w:rsid w:val="003477B1"/>
    <w:rsid w:val="00351738"/>
    <w:rsid w:val="0035482C"/>
    <w:rsid w:val="003568CF"/>
    <w:rsid w:val="00357380"/>
    <w:rsid w:val="003602D9"/>
    <w:rsid w:val="003604CE"/>
    <w:rsid w:val="00370E47"/>
    <w:rsid w:val="00371890"/>
    <w:rsid w:val="003742AC"/>
    <w:rsid w:val="00377CE1"/>
    <w:rsid w:val="003833F3"/>
    <w:rsid w:val="00385BF0"/>
    <w:rsid w:val="00391AE3"/>
    <w:rsid w:val="003939FF"/>
    <w:rsid w:val="003A2223"/>
    <w:rsid w:val="003A2A0F"/>
    <w:rsid w:val="003A45A1"/>
    <w:rsid w:val="003A5B0A"/>
    <w:rsid w:val="003A6BAC"/>
    <w:rsid w:val="003A7EF3"/>
    <w:rsid w:val="003B159C"/>
    <w:rsid w:val="003B369F"/>
    <w:rsid w:val="003B36A3"/>
    <w:rsid w:val="003B7FE5"/>
    <w:rsid w:val="003C11C8"/>
    <w:rsid w:val="003C2702"/>
    <w:rsid w:val="003C4418"/>
    <w:rsid w:val="003C7806"/>
    <w:rsid w:val="003D109F"/>
    <w:rsid w:val="003D2478"/>
    <w:rsid w:val="003D2FC4"/>
    <w:rsid w:val="003D3C45"/>
    <w:rsid w:val="003D5B1F"/>
    <w:rsid w:val="003E15FA"/>
    <w:rsid w:val="003E55E4"/>
    <w:rsid w:val="003E74E3"/>
    <w:rsid w:val="003F05C7"/>
    <w:rsid w:val="003F2CD4"/>
    <w:rsid w:val="003F6BBE"/>
    <w:rsid w:val="004000E8"/>
    <w:rsid w:val="004009CB"/>
    <w:rsid w:val="00400EF0"/>
    <w:rsid w:val="00402E2B"/>
    <w:rsid w:val="0040512B"/>
    <w:rsid w:val="0040520F"/>
    <w:rsid w:val="00405CA5"/>
    <w:rsid w:val="00407CD3"/>
    <w:rsid w:val="00410134"/>
    <w:rsid w:val="00410B72"/>
    <w:rsid w:val="00410F18"/>
    <w:rsid w:val="0041263E"/>
    <w:rsid w:val="00413AAC"/>
    <w:rsid w:val="00415627"/>
    <w:rsid w:val="00416924"/>
    <w:rsid w:val="004179C4"/>
    <w:rsid w:val="00421105"/>
    <w:rsid w:val="004234CF"/>
    <w:rsid w:val="004242F4"/>
    <w:rsid w:val="00427248"/>
    <w:rsid w:val="00437447"/>
    <w:rsid w:val="00441A92"/>
    <w:rsid w:val="00444469"/>
    <w:rsid w:val="00444F56"/>
    <w:rsid w:val="00446488"/>
    <w:rsid w:val="00447004"/>
    <w:rsid w:val="004517AA"/>
    <w:rsid w:val="00452CAC"/>
    <w:rsid w:val="00457565"/>
    <w:rsid w:val="00457B71"/>
    <w:rsid w:val="00464926"/>
    <w:rsid w:val="00465F3A"/>
    <w:rsid w:val="004669E2"/>
    <w:rsid w:val="00470C31"/>
    <w:rsid w:val="00473069"/>
    <w:rsid w:val="004734D0"/>
    <w:rsid w:val="0047556B"/>
    <w:rsid w:val="00477768"/>
    <w:rsid w:val="004816CC"/>
    <w:rsid w:val="004850B1"/>
    <w:rsid w:val="00492BC5"/>
    <w:rsid w:val="004964F1"/>
    <w:rsid w:val="004A16BC"/>
    <w:rsid w:val="004A2B94"/>
    <w:rsid w:val="004B7C0C"/>
    <w:rsid w:val="004C3898"/>
    <w:rsid w:val="004C51FB"/>
    <w:rsid w:val="004D36B1"/>
    <w:rsid w:val="004D7EBD"/>
    <w:rsid w:val="004E2680"/>
    <w:rsid w:val="004E28F9"/>
    <w:rsid w:val="004E462E"/>
    <w:rsid w:val="004E56DC"/>
    <w:rsid w:val="004E76F4"/>
    <w:rsid w:val="004F0B4E"/>
    <w:rsid w:val="004F0B6C"/>
    <w:rsid w:val="004F2078"/>
    <w:rsid w:val="004F4DA3"/>
    <w:rsid w:val="005056F1"/>
    <w:rsid w:val="00506557"/>
    <w:rsid w:val="0050677A"/>
    <w:rsid w:val="005108D8"/>
    <w:rsid w:val="005116F9"/>
    <w:rsid w:val="00513779"/>
    <w:rsid w:val="005153A7"/>
    <w:rsid w:val="005156A6"/>
    <w:rsid w:val="0052061B"/>
    <w:rsid w:val="005219CF"/>
    <w:rsid w:val="005338D0"/>
    <w:rsid w:val="00534B59"/>
    <w:rsid w:val="00536759"/>
    <w:rsid w:val="00537C62"/>
    <w:rsid w:val="00541A0E"/>
    <w:rsid w:val="00545AB6"/>
    <w:rsid w:val="0054681E"/>
    <w:rsid w:val="00546970"/>
    <w:rsid w:val="0054788F"/>
    <w:rsid w:val="00554E19"/>
    <w:rsid w:val="0056121F"/>
    <w:rsid w:val="00572505"/>
    <w:rsid w:val="00580202"/>
    <w:rsid w:val="00582809"/>
    <w:rsid w:val="0058798C"/>
    <w:rsid w:val="005900FA"/>
    <w:rsid w:val="005932EF"/>
    <w:rsid w:val="005935A4"/>
    <w:rsid w:val="005948C2"/>
    <w:rsid w:val="00595DCA"/>
    <w:rsid w:val="0059779B"/>
    <w:rsid w:val="005A209A"/>
    <w:rsid w:val="005A662D"/>
    <w:rsid w:val="005B35D7"/>
    <w:rsid w:val="005B392A"/>
    <w:rsid w:val="005B3AA3"/>
    <w:rsid w:val="005B6F83"/>
    <w:rsid w:val="005B74F8"/>
    <w:rsid w:val="005C74FB"/>
    <w:rsid w:val="005D094D"/>
    <w:rsid w:val="005D1602"/>
    <w:rsid w:val="005D60DB"/>
    <w:rsid w:val="005E147A"/>
    <w:rsid w:val="005E385F"/>
    <w:rsid w:val="005E42E4"/>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26BEF"/>
    <w:rsid w:val="00630001"/>
    <w:rsid w:val="0063097A"/>
    <w:rsid w:val="006311B3"/>
    <w:rsid w:val="0063284C"/>
    <w:rsid w:val="00636398"/>
    <w:rsid w:val="006368D3"/>
    <w:rsid w:val="006377EC"/>
    <w:rsid w:val="0064151F"/>
    <w:rsid w:val="00641533"/>
    <w:rsid w:val="0064208D"/>
    <w:rsid w:val="00643475"/>
    <w:rsid w:val="0064396A"/>
    <w:rsid w:val="00645C6E"/>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1A7F"/>
    <w:rsid w:val="00683ECE"/>
    <w:rsid w:val="00691DE2"/>
    <w:rsid w:val="00695FC2"/>
    <w:rsid w:val="00696949"/>
    <w:rsid w:val="00697052"/>
    <w:rsid w:val="006A3FCB"/>
    <w:rsid w:val="006A46FB"/>
    <w:rsid w:val="006A5E28"/>
    <w:rsid w:val="006A697B"/>
    <w:rsid w:val="006A7AFF"/>
    <w:rsid w:val="006B1816"/>
    <w:rsid w:val="006B2099"/>
    <w:rsid w:val="006B3FB0"/>
    <w:rsid w:val="006B50CF"/>
    <w:rsid w:val="006B765D"/>
    <w:rsid w:val="006C03B8"/>
    <w:rsid w:val="006C0617"/>
    <w:rsid w:val="006C5EC9"/>
    <w:rsid w:val="006C6059"/>
    <w:rsid w:val="006C7522"/>
    <w:rsid w:val="006D68F5"/>
    <w:rsid w:val="006D6F08"/>
    <w:rsid w:val="006E062C"/>
    <w:rsid w:val="006E28B7"/>
    <w:rsid w:val="006E3310"/>
    <w:rsid w:val="006E4E39"/>
    <w:rsid w:val="006E565E"/>
    <w:rsid w:val="006E57BD"/>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6EA6"/>
    <w:rsid w:val="00727208"/>
    <w:rsid w:val="00727680"/>
    <w:rsid w:val="007348B1"/>
    <w:rsid w:val="00734B23"/>
    <w:rsid w:val="007362A6"/>
    <w:rsid w:val="00736D7D"/>
    <w:rsid w:val="00740E58"/>
    <w:rsid w:val="007441EA"/>
    <w:rsid w:val="007445A0"/>
    <w:rsid w:val="0074524B"/>
    <w:rsid w:val="00747D8B"/>
    <w:rsid w:val="00751228"/>
    <w:rsid w:val="00751B24"/>
    <w:rsid w:val="007571E1"/>
    <w:rsid w:val="007604B2"/>
    <w:rsid w:val="00761B10"/>
    <w:rsid w:val="00765281"/>
    <w:rsid w:val="00766BAD"/>
    <w:rsid w:val="007730BD"/>
    <w:rsid w:val="007755F2"/>
    <w:rsid w:val="00776971"/>
    <w:rsid w:val="0078177E"/>
    <w:rsid w:val="0078304C"/>
    <w:rsid w:val="00783673"/>
    <w:rsid w:val="00785490"/>
    <w:rsid w:val="00791CCD"/>
    <w:rsid w:val="007925EA"/>
    <w:rsid w:val="00793CD8"/>
    <w:rsid w:val="00794585"/>
    <w:rsid w:val="00795C92"/>
    <w:rsid w:val="00796231"/>
    <w:rsid w:val="007A1CB3"/>
    <w:rsid w:val="007A306F"/>
    <w:rsid w:val="007A43A6"/>
    <w:rsid w:val="007A4E21"/>
    <w:rsid w:val="007A58A6"/>
    <w:rsid w:val="007B1794"/>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6BD0"/>
    <w:rsid w:val="007E7091"/>
    <w:rsid w:val="007F1628"/>
    <w:rsid w:val="007F64C4"/>
    <w:rsid w:val="00803FAE"/>
    <w:rsid w:val="0080605F"/>
    <w:rsid w:val="00807786"/>
    <w:rsid w:val="00811FCB"/>
    <w:rsid w:val="008149B6"/>
    <w:rsid w:val="008158D6"/>
    <w:rsid w:val="00817196"/>
    <w:rsid w:val="00817EDE"/>
    <w:rsid w:val="008235DB"/>
    <w:rsid w:val="00824AB4"/>
    <w:rsid w:val="00825C42"/>
    <w:rsid w:val="00825D25"/>
    <w:rsid w:val="00827D6F"/>
    <w:rsid w:val="008339A4"/>
    <w:rsid w:val="008376AC"/>
    <w:rsid w:val="008444E8"/>
    <w:rsid w:val="00844E80"/>
    <w:rsid w:val="00846FE7"/>
    <w:rsid w:val="00850CEC"/>
    <w:rsid w:val="00856911"/>
    <w:rsid w:val="008601C1"/>
    <w:rsid w:val="008677FD"/>
    <w:rsid w:val="008706D4"/>
    <w:rsid w:val="00870F8A"/>
    <w:rsid w:val="008719A4"/>
    <w:rsid w:val="00871D23"/>
    <w:rsid w:val="00874312"/>
    <w:rsid w:val="0087437C"/>
    <w:rsid w:val="00875CD7"/>
    <w:rsid w:val="00876B4D"/>
    <w:rsid w:val="00877F18"/>
    <w:rsid w:val="00893AC3"/>
    <w:rsid w:val="00894A88"/>
    <w:rsid w:val="00895386"/>
    <w:rsid w:val="008A21FF"/>
    <w:rsid w:val="008A2CE2"/>
    <w:rsid w:val="008A30AC"/>
    <w:rsid w:val="008A44B8"/>
    <w:rsid w:val="008A51A8"/>
    <w:rsid w:val="008A52DC"/>
    <w:rsid w:val="008A54C7"/>
    <w:rsid w:val="008A77D8"/>
    <w:rsid w:val="008B0483"/>
    <w:rsid w:val="008B120C"/>
    <w:rsid w:val="008B51A0"/>
    <w:rsid w:val="008B592A"/>
    <w:rsid w:val="008B7B5C"/>
    <w:rsid w:val="008C0C99"/>
    <w:rsid w:val="008C2017"/>
    <w:rsid w:val="008C4958"/>
    <w:rsid w:val="008C4BAA"/>
    <w:rsid w:val="008C6AE8"/>
    <w:rsid w:val="008C7573"/>
    <w:rsid w:val="008D04E6"/>
    <w:rsid w:val="008D08A2"/>
    <w:rsid w:val="008D34F1"/>
    <w:rsid w:val="008D39D8"/>
    <w:rsid w:val="008D6D1A"/>
    <w:rsid w:val="008D6E71"/>
    <w:rsid w:val="008E065E"/>
    <w:rsid w:val="008E0927"/>
    <w:rsid w:val="008E1909"/>
    <w:rsid w:val="008E6AFF"/>
    <w:rsid w:val="008F1EAB"/>
    <w:rsid w:val="008F33DC"/>
    <w:rsid w:val="008F477F"/>
    <w:rsid w:val="00902350"/>
    <w:rsid w:val="0090336B"/>
    <w:rsid w:val="009053AA"/>
    <w:rsid w:val="00906939"/>
    <w:rsid w:val="0090708B"/>
    <w:rsid w:val="00910B7D"/>
    <w:rsid w:val="00911DFB"/>
    <w:rsid w:val="009139D9"/>
    <w:rsid w:val="00914AD8"/>
    <w:rsid w:val="00916079"/>
    <w:rsid w:val="00917CE9"/>
    <w:rsid w:val="00920BF2"/>
    <w:rsid w:val="00920E8B"/>
    <w:rsid w:val="00921C60"/>
    <w:rsid w:val="00922010"/>
    <w:rsid w:val="00931BD9"/>
    <w:rsid w:val="00933F2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0A14"/>
    <w:rsid w:val="00985253"/>
    <w:rsid w:val="009853B3"/>
    <w:rsid w:val="00990630"/>
    <w:rsid w:val="00991761"/>
    <w:rsid w:val="00994DCA"/>
    <w:rsid w:val="00995F2B"/>
    <w:rsid w:val="009960EC"/>
    <w:rsid w:val="009970DD"/>
    <w:rsid w:val="009A0FBA"/>
    <w:rsid w:val="009A1601"/>
    <w:rsid w:val="009A1669"/>
    <w:rsid w:val="009A26E2"/>
    <w:rsid w:val="009A462D"/>
    <w:rsid w:val="009A5CBA"/>
    <w:rsid w:val="009A757B"/>
    <w:rsid w:val="009B1F30"/>
    <w:rsid w:val="009B26F0"/>
    <w:rsid w:val="009B3AC2"/>
    <w:rsid w:val="009B4DF4"/>
    <w:rsid w:val="009B564E"/>
    <w:rsid w:val="009B7E87"/>
    <w:rsid w:val="009C31F3"/>
    <w:rsid w:val="009C403E"/>
    <w:rsid w:val="009D0B41"/>
    <w:rsid w:val="009D4FF0"/>
    <w:rsid w:val="009D703C"/>
    <w:rsid w:val="009D718F"/>
    <w:rsid w:val="009E068F"/>
    <w:rsid w:val="009E08D3"/>
    <w:rsid w:val="009E14E0"/>
    <w:rsid w:val="009E35DB"/>
    <w:rsid w:val="009E47A3"/>
    <w:rsid w:val="009F08F3"/>
    <w:rsid w:val="009F1ECE"/>
    <w:rsid w:val="009F344F"/>
    <w:rsid w:val="009F645A"/>
    <w:rsid w:val="00A03640"/>
    <w:rsid w:val="00A048A8"/>
    <w:rsid w:val="00A04A41"/>
    <w:rsid w:val="00A04F49"/>
    <w:rsid w:val="00A13E54"/>
    <w:rsid w:val="00A17F63"/>
    <w:rsid w:val="00A2190B"/>
    <w:rsid w:val="00A2193B"/>
    <w:rsid w:val="00A2351A"/>
    <w:rsid w:val="00A239C7"/>
    <w:rsid w:val="00A264A9"/>
    <w:rsid w:val="00A27785"/>
    <w:rsid w:val="00A27CC8"/>
    <w:rsid w:val="00A30187"/>
    <w:rsid w:val="00A30A47"/>
    <w:rsid w:val="00A3448A"/>
    <w:rsid w:val="00A36297"/>
    <w:rsid w:val="00A41E2B"/>
    <w:rsid w:val="00A45B48"/>
    <w:rsid w:val="00A45B74"/>
    <w:rsid w:val="00A503CC"/>
    <w:rsid w:val="00A51EC4"/>
    <w:rsid w:val="00A52E1D"/>
    <w:rsid w:val="00A61499"/>
    <w:rsid w:val="00A62A77"/>
    <w:rsid w:val="00A63483"/>
    <w:rsid w:val="00A63CD5"/>
    <w:rsid w:val="00A657D7"/>
    <w:rsid w:val="00A65906"/>
    <w:rsid w:val="00A660AC"/>
    <w:rsid w:val="00A679D1"/>
    <w:rsid w:val="00A67E6C"/>
    <w:rsid w:val="00A71B99"/>
    <w:rsid w:val="00A739D0"/>
    <w:rsid w:val="00A761D4"/>
    <w:rsid w:val="00A77EC4"/>
    <w:rsid w:val="00A857B3"/>
    <w:rsid w:val="00A92879"/>
    <w:rsid w:val="00A9442A"/>
    <w:rsid w:val="00AA016F"/>
    <w:rsid w:val="00AA1ED6"/>
    <w:rsid w:val="00AA44FD"/>
    <w:rsid w:val="00AA51D6"/>
    <w:rsid w:val="00AB0BC8"/>
    <w:rsid w:val="00AB11CA"/>
    <w:rsid w:val="00AB14D9"/>
    <w:rsid w:val="00AB4AB8"/>
    <w:rsid w:val="00AB4AD7"/>
    <w:rsid w:val="00AB655E"/>
    <w:rsid w:val="00AB6EAC"/>
    <w:rsid w:val="00AC007F"/>
    <w:rsid w:val="00AC158E"/>
    <w:rsid w:val="00AC2ECD"/>
    <w:rsid w:val="00AC3119"/>
    <w:rsid w:val="00AC49FB"/>
    <w:rsid w:val="00AC5A10"/>
    <w:rsid w:val="00AD0AA3"/>
    <w:rsid w:val="00AD3F94"/>
    <w:rsid w:val="00AD4A5A"/>
    <w:rsid w:val="00AD773C"/>
    <w:rsid w:val="00AE27AC"/>
    <w:rsid w:val="00AE40E0"/>
    <w:rsid w:val="00AE4DBA"/>
    <w:rsid w:val="00AE4F07"/>
    <w:rsid w:val="00AE71E2"/>
    <w:rsid w:val="00AF1C5D"/>
    <w:rsid w:val="00AF42D7"/>
    <w:rsid w:val="00B006FE"/>
    <w:rsid w:val="00B007CB"/>
    <w:rsid w:val="00B02AA9"/>
    <w:rsid w:val="00B02FA3"/>
    <w:rsid w:val="00B05084"/>
    <w:rsid w:val="00B137BE"/>
    <w:rsid w:val="00B141C5"/>
    <w:rsid w:val="00B157F9"/>
    <w:rsid w:val="00B167F1"/>
    <w:rsid w:val="00B20256"/>
    <w:rsid w:val="00B20D09"/>
    <w:rsid w:val="00B2763F"/>
    <w:rsid w:val="00B27AAC"/>
    <w:rsid w:val="00B30929"/>
    <w:rsid w:val="00B372AA"/>
    <w:rsid w:val="00B40445"/>
    <w:rsid w:val="00B41888"/>
    <w:rsid w:val="00B42BDB"/>
    <w:rsid w:val="00B45A52"/>
    <w:rsid w:val="00B45A68"/>
    <w:rsid w:val="00B46175"/>
    <w:rsid w:val="00B62AAA"/>
    <w:rsid w:val="00B664C7"/>
    <w:rsid w:val="00B739F6"/>
    <w:rsid w:val="00B741B2"/>
    <w:rsid w:val="00B81A6C"/>
    <w:rsid w:val="00B85DE5"/>
    <w:rsid w:val="00B871F1"/>
    <w:rsid w:val="00B90F73"/>
    <w:rsid w:val="00B93B59"/>
    <w:rsid w:val="00B9406A"/>
    <w:rsid w:val="00BA04E0"/>
    <w:rsid w:val="00BA2280"/>
    <w:rsid w:val="00BA2A08"/>
    <w:rsid w:val="00BA56D2"/>
    <w:rsid w:val="00BA76E0"/>
    <w:rsid w:val="00BB15EB"/>
    <w:rsid w:val="00BB2A25"/>
    <w:rsid w:val="00BB51E9"/>
    <w:rsid w:val="00BB6EAA"/>
    <w:rsid w:val="00BC0FDC"/>
    <w:rsid w:val="00BC2BDE"/>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076A8"/>
    <w:rsid w:val="00C10478"/>
    <w:rsid w:val="00C12107"/>
    <w:rsid w:val="00C14D4B"/>
    <w:rsid w:val="00C154BB"/>
    <w:rsid w:val="00C157BE"/>
    <w:rsid w:val="00C174B7"/>
    <w:rsid w:val="00C26FAA"/>
    <w:rsid w:val="00C279B5"/>
    <w:rsid w:val="00C27BBF"/>
    <w:rsid w:val="00C27C45"/>
    <w:rsid w:val="00C33055"/>
    <w:rsid w:val="00C344CD"/>
    <w:rsid w:val="00C3719D"/>
    <w:rsid w:val="00C37A31"/>
    <w:rsid w:val="00C54995"/>
    <w:rsid w:val="00C54D41"/>
    <w:rsid w:val="00C60783"/>
    <w:rsid w:val="00C64672"/>
    <w:rsid w:val="00C676BE"/>
    <w:rsid w:val="00C70697"/>
    <w:rsid w:val="00C72EF4"/>
    <w:rsid w:val="00C733B9"/>
    <w:rsid w:val="00C75D2F"/>
    <w:rsid w:val="00C767BE"/>
    <w:rsid w:val="00C76963"/>
    <w:rsid w:val="00C76E3C"/>
    <w:rsid w:val="00C81568"/>
    <w:rsid w:val="00C9027A"/>
    <w:rsid w:val="00C9068E"/>
    <w:rsid w:val="00C93C4B"/>
    <w:rsid w:val="00C944AB"/>
    <w:rsid w:val="00C95B40"/>
    <w:rsid w:val="00CA1ED8"/>
    <w:rsid w:val="00CB1F63"/>
    <w:rsid w:val="00CB265D"/>
    <w:rsid w:val="00CB2BA9"/>
    <w:rsid w:val="00CB3C61"/>
    <w:rsid w:val="00CB7170"/>
    <w:rsid w:val="00CC040E"/>
    <w:rsid w:val="00CC111F"/>
    <w:rsid w:val="00CC2011"/>
    <w:rsid w:val="00CC2E61"/>
    <w:rsid w:val="00CC3EA0"/>
    <w:rsid w:val="00CC7B45"/>
    <w:rsid w:val="00CD1188"/>
    <w:rsid w:val="00CD1419"/>
    <w:rsid w:val="00CD2ED1"/>
    <w:rsid w:val="00CD337B"/>
    <w:rsid w:val="00CE0424"/>
    <w:rsid w:val="00CE7561"/>
    <w:rsid w:val="00CF1354"/>
    <w:rsid w:val="00CF3B1F"/>
    <w:rsid w:val="00CF3BF6"/>
    <w:rsid w:val="00CF625B"/>
    <w:rsid w:val="00CF687E"/>
    <w:rsid w:val="00D018FE"/>
    <w:rsid w:val="00D0349B"/>
    <w:rsid w:val="00D04434"/>
    <w:rsid w:val="00D10249"/>
    <w:rsid w:val="00D115C3"/>
    <w:rsid w:val="00D11897"/>
    <w:rsid w:val="00D13135"/>
    <w:rsid w:val="00D13E4E"/>
    <w:rsid w:val="00D14CDF"/>
    <w:rsid w:val="00D16EAC"/>
    <w:rsid w:val="00D239A7"/>
    <w:rsid w:val="00D23F47"/>
    <w:rsid w:val="00D3005B"/>
    <w:rsid w:val="00D31101"/>
    <w:rsid w:val="00D3601D"/>
    <w:rsid w:val="00D36E71"/>
    <w:rsid w:val="00D370F1"/>
    <w:rsid w:val="00D37D87"/>
    <w:rsid w:val="00D40929"/>
    <w:rsid w:val="00D40B33"/>
    <w:rsid w:val="00D4171A"/>
    <w:rsid w:val="00D4318F"/>
    <w:rsid w:val="00D438BF"/>
    <w:rsid w:val="00D440F8"/>
    <w:rsid w:val="00D46DBD"/>
    <w:rsid w:val="00D515C5"/>
    <w:rsid w:val="00D52FF6"/>
    <w:rsid w:val="00D546FF"/>
    <w:rsid w:val="00D55AD5"/>
    <w:rsid w:val="00D576CA"/>
    <w:rsid w:val="00D60E13"/>
    <w:rsid w:val="00D61AF5"/>
    <w:rsid w:val="00D62CD5"/>
    <w:rsid w:val="00D6435F"/>
    <w:rsid w:val="00D652B5"/>
    <w:rsid w:val="00D66155"/>
    <w:rsid w:val="00D6733D"/>
    <w:rsid w:val="00D708B0"/>
    <w:rsid w:val="00D7202D"/>
    <w:rsid w:val="00D77B1D"/>
    <w:rsid w:val="00D8021F"/>
    <w:rsid w:val="00D80383"/>
    <w:rsid w:val="00D81C79"/>
    <w:rsid w:val="00D823C6"/>
    <w:rsid w:val="00D86CA3"/>
    <w:rsid w:val="00D871CE"/>
    <w:rsid w:val="00D8730B"/>
    <w:rsid w:val="00D9196D"/>
    <w:rsid w:val="00D92982"/>
    <w:rsid w:val="00DA305E"/>
    <w:rsid w:val="00DA5007"/>
    <w:rsid w:val="00DA5417"/>
    <w:rsid w:val="00DA5548"/>
    <w:rsid w:val="00DA56E8"/>
    <w:rsid w:val="00DB0A9F"/>
    <w:rsid w:val="00DB228E"/>
    <w:rsid w:val="00DB377D"/>
    <w:rsid w:val="00DB6631"/>
    <w:rsid w:val="00DC2D36"/>
    <w:rsid w:val="00DC53EF"/>
    <w:rsid w:val="00DD2BBC"/>
    <w:rsid w:val="00DD4F52"/>
    <w:rsid w:val="00DE3F17"/>
    <w:rsid w:val="00DE4262"/>
    <w:rsid w:val="00DE5608"/>
    <w:rsid w:val="00DE58D0"/>
    <w:rsid w:val="00DE654F"/>
    <w:rsid w:val="00DF0B6E"/>
    <w:rsid w:val="00DF15E0"/>
    <w:rsid w:val="00DF37A0"/>
    <w:rsid w:val="00E02040"/>
    <w:rsid w:val="00E0282A"/>
    <w:rsid w:val="00E07310"/>
    <w:rsid w:val="00E110E7"/>
    <w:rsid w:val="00E112FD"/>
    <w:rsid w:val="00E11B20"/>
    <w:rsid w:val="00E17FA2"/>
    <w:rsid w:val="00E2014D"/>
    <w:rsid w:val="00E21CED"/>
    <w:rsid w:val="00E22330"/>
    <w:rsid w:val="00E30B5A"/>
    <w:rsid w:val="00E3123D"/>
    <w:rsid w:val="00E31461"/>
    <w:rsid w:val="00E31D43"/>
    <w:rsid w:val="00E31F6D"/>
    <w:rsid w:val="00E32608"/>
    <w:rsid w:val="00E34188"/>
    <w:rsid w:val="00E345CD"/>
    <w:rsid w:val="00E34B6E"/>
    <w:rsid w:val="00E35559"/>
    <w:rsid w:val="00E3723A"/>
    <w:rsid w:val="00E37860"/>
    <w:rsid w:val="00E424D6"/>
    <w:rsid w:val="00E446F1"/>
    <w:rsid w:val="00E46886"/>
    <w:rsid w:val="00E47AEF"/>
    <w:rsid w:val="00E53B75"/>
    <w:rsid w:val="00E5422E"/>
    <w:rsid w:val="00E548F7"/>
    <w:rsid w:val="00E54E3B"/>
    <w:rsid w:val="00E57565"/>
    <w:rsid w:val="00E63838"/>
    <w:rsid w:val="00E63A4B"/>
    <w:rsid w:val="00E64434"/>
    <w:rsid w:val="00E67C51"/>
    <w:rsid w:val="00E72EFC"/>
    <w:rsid w:val="00E7524C"/>
    <w:rsid w:val="00E758EC"/>
    <w:rsid w:val="00E8234C"/>
    <w:rsid w:val="00E83AA9"/>
    <w:rsid w:val="00E85928"/>
    <w:rsid w:val="00E87822"/>
    <w:rsid w:val="00E90395"/>
    <w:rsid w:val="00E90E49"/>
    <w:rsid w:val="00E917EE"/>
    <w:rsid w:val="00E917F9"/>
    <w:rsid w:val="00E9291C"/>
    <w:rsid w:val="00E93FFE"/>
    <w:rsid w:val="00E94F8A"/>
    <w:rsid w:val="00EA05C8"/>
    <w:rsid w:val="00EA517E"/>
    <w:rsid w:val="00EA5E55"/>
    <w:rsid w:val="00EA7A41"/>
    <w:rsid w:val="00EB077B"/>
    <w:rsid w:val="00EB4EA2"/>
    <w:rsid w:val="00EB7F43"/>
    <w:rsid w:val="00EC27C6"/>
    <w:rsid w:val="00EC4207"/>
    <w:rsid w:val="00EC5653"/>
    <w:rsid w:val="00EC60B5"/>
    <w:rsid w:val="00EC71CE"/>
    <w:rsid w:val="00ED1006"/>
    <w:rsid w:val="00ED7B11"/>
    <w:rsid w:val="00EE460D"/>
    <w:rsid w:val="00EF18FE"/>
    <w:rsid w:val="00EF2DF2"/>
    <w:rsid w:val="00EF404F"/>
    <w:rsid w:val="00EF5787"/>
    <w:rsid w:val="00EF60D0"/>
    <w:rsid w:val="00EF731F"/>
    <w:rsid w:val="00F0528D"/>
    <w:rsid w:val="00F06C67"/>
    <w:rsid w:val="00F06DFD"/>
    <w:rsid w:val="00F071D1"/>
    <w:rsid w:val="00F07533"/>
    <w:rsid w:val="00F07DF3"/>
    <w:rsid w:val="00F10629"/>
    <w:rsid w:val="00F145A8"/>
    <w:rsid w:val="00F15435"/>
    <w:rsid w:val="00F15FA5"/>
    <w:rsid w:val="00F209B7"/>
    <w:rsid w:val="00F2376F"/>
    <w:rsid w:val="00F243D8"/>
    <w:rsid w:val="00F30828"/>
    <w:rsid w:val="00F313D6"/>
    <w:rsid w:val="00F32A92"/>
    <w:rsid w:val="00F34EFF"/>
    <w:rsid w:val="00F36A6D"/>
    <w:rsid w:val="00F40F0C"/>
    <w:rsid w:val="00F4766C"/>
    <w:rsid w:val="00F507D1"/>
    <w:rsid w:val="00F519CE"/>
    <w:rsid w:val="00F51ADA"/>
    <w:rsid w:val="00F607C5"/>
    <w:rsid w:val="00F60DEA"/>
    <w:rsid w:val="00F617F0"/>
    <w:rsid w:val="00F6302A"/>
    <w:rsid w:val="00F642DF"/>
    <w:rsid w:val="00F64C2B"/>
    <w:rsid w:val="00F651BE"/>
    <w:rsid w:val="00F67F53"/>
    <w:rsid w:val="00F703BE"/>
    <w:rsid w:val="00F71F69"/>
    <w:rsid w:val="00F72B72"/>
    <w:rsid w:val="00F74BB9"/>
    <w:rsid w:val="00F75582"/>
    <w:rsid w:val="00F75A7F"/>
    <w:rsid w:val="00F76EFA"/>
    <w:rsid w:val="00F804BE"/>
    <w:rsid w:val="00F817CE"/>
    <w:rsid w:val="00F8456C"/>
    <w:rsid w:val="00F859D8"/>
    <w:rsid w:val="00F868F5"/>
    <w:rsid w:val="00F9056A"/>
    <w:rsid w:val="00F90CB4"/>
    <w:rsid w:val="00F90F8D"/>
    <w:rsid w:val="00F92782"/>
    <w:rsid w:val="00F93AA9"/>
    <w:rsid w:val="00F96985"/>
    <w:rsid w:val="00F97838"/>
    <w:rsid w:val="00F97E02"/>
    <w:rsid w:val="00FA2BB3"/>
    <w:rsid w:val="00FB4C80"/>
    <w:rsid w:val="00FB5EFF"/>
    <w:rsid w:val="00FB6A6A"/>
    <w:rsid w:val="00FC4077"/>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6D500E"/>
  <w15:docId w15:val="{07AAD129-B111-4CD0-89E4-7F19822517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63CD5"/>
    <w:pPr>
      <w:ind w:left="720"/>
      <w:contextualSpacing/>
    </w:pPr>
  </w:style>
  <w:style w:type="table" w:styleId="TableGrid">
    <w:name w:val="Table Grid"/>
    <w:basedOn w:val="TableNormal"/>
    <w:rsid w:val="00F90C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93AC3"/>
    <w:rPr>
      <w:rFonts w:ascii="Arial" w:hAnsi="Arial"/>
      <w:lang w:val="en-GB"/>
    </w:rPr>
  </w:style>
  <w:style w:type="character" w:customStyle="1" w:styleId="TALCar">
    <w:name w:val="TAL Car"/>
    <w:link w:val="TAL"/>
    <w:rsid w:val="00473069"/>
    <w:rPr>
      <w:rFonts w:ascii="Arial" w:hAnsi="Arial"/>
      <w:sz w:val="18"/>
      <w:lang w:val="en-GB" w:eastAsia="en-US"/>
    </w:rPr>
  </w:style>
  <w:style w:type="character" w:customStyle="1" w:styleId="THChar">
    <w:name w:val="TH Char"/>
    <w:link w:val="TH"/>
    <w:rsid w:val="004730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876905">
      <w:bodyDiv w:val="1"/>
      <w:marLeft w:val="0"/>
      <w:marRight w:val="0"/>
      <w:marTop w:val="0"/>
      <w:marBottom w:val="0"/>
      <w:divBdr>
        <w:top w:val="none" w:sz="0" w:space="0" w:color="auto"/>
        <w:left w:val="none" w:sz="0" w:space="0" w:color="auto"/>
        <w:bottom w:val="none" w:sz="0" w:space="0" w:color="auto"/>
        <w:right w:val="none" w:sz="0" w:space="0" w:color="auto"/>
      </w:divBdr>
    </w:div>
    <w:div w:id="259264095">
      <w:bodyDiv w:val="1"/>
      <w:marLeft w:val="0"/>
      <w:marRight w:val="0"/>
      <w:marTop w:val="0"/>
      <w:marBottom w:val="0"/>
      <w:divBdr>
        <w:top w:val="none" w:sz="0" w:space="0" w:color="auto"/>
        <w:left w:val="none" w:sz="0" w:space="0" w:color="auto"/>
        <w:bottom w:val="none" w:sz="0" w:space="0" w:color="auto"/>
        <w:right w:val="none" w:sz="0" w:space="0" w:color="auto"/>
      </w:divBdr>
    </w:div>
    <w:div w:id="354502405">
      <w:bodyDiv w:val="1"/>
      <w:marLeft w:val="0"/>
      <w:marRight w:val="0"/>
      <w:marTop w:val="0"/>
      <w:marBottom w:val="0"/>
      <w:divBdr>
        <w:top w:val="none" w:sz="0" w:space="0" w:color="auto"/>
        <w:left w:val="none" w:sz="0" w:space="0" w:color="auto"/>
        <w:bottom w:val="none" w:sz="0" w:space="0" w:color="auto"/>
        <w:right w:val="none" w:sz="0" w:space="0" w:color="auto"/>
      </w:divBdr>
    </w:div>
    <w:div w:id="727072973">
      <w:bodyDiv w:val="1"/>
      <w:marLeft w:val="0"/>
      <w:marRight w:val="0"/>
      <w:marTop w:val="0"/>
      <w:marBottom w:val="0"/>
      <w:divBdr>
        <w:top w:val="none" w:sz="0" w:space="0" w:color="auto"/>
        <w:left w:val="none" w:sz="0" w:space="0" w:color="auto"/>
        <w:bottom w:val="none" w:sz="0" w:space="0" w:color="auto"/>
        <w:right w:val="none" w:sz="0" w:space="0" w:color="auto"/>
      </w:divBdr>
    </w:div>
    <w:div w:id="836074447">
      <w:bodyDiv w:val="1"/>
      <w:marLeft w:val="0"/>
      <w:marRight w:val="0"/>
      <w:marTop w:val="0"/>
      <w:marBottom w:val="0"/>
      <w:divBdr>
        <w:top w:val="none" w:sz="0" w:space="0" w:color="auto"/>
        <w:left w:val="none" w:sz="0" w:space="0" w:color="auto"/>
        <w:bottom w:val="none" w:sz="0" w:space="0" w:color="auto"/>
        <w:right w:val="none" w:sz="0" w:space="0" w:color="auto"/>
      </w:divBdr>
    </w:div>
    <w:div w:id="972490704">
      <w:bodyDiv w:val="1"/>
      <w:marLeft w:val="0"/>
      <w:marRight w:val="0"/>
      <w:marTop w:val="0"/>
      <w:marBottom w:val="0"/>
      <w:divBdr>
        <w:top w:val="none" w:sz="0" w:space="0" w:color="auto"/>
        <w:left w:val="none" w:sz="0" w:space="0" w:color="auto"/>
        <w:bottom w:val="none" w:sz="0" w:space="0" w:color="auto"/>
        <w:right w:val="none" w:sz="0" w:space="0" w:color="auto"/>
      </w:divBdr>
    </w:div>
    <w:div w:id="1162350972">
      <w:bodyDiv w:val="1"/>
      <w:marLeft w:val="0"/>
      <w:marRight w:val="0"/>
      <w:marTop w:val="0"/>
      <w:marBottom w:val="0"/>
      <w:divBdr>
        <w:top w:val="none" w:sz="0" w:space="0" w:color="auto"/>
        <w:left w:val="none" w:sz="0" w:space="0" w:color="auto"/>
        <w:bottom w:val="none" w:sz="0" w:space="0" w:color="auto"/>
        <w:right w:val="none" w:sz="0" w:space="0" w:color="auto"/>
      </w:divBdr>
    </w:div>
    <w:div w:id="1320964638">
      <w:bodyDiv w:val="1"/>
      <w:marLeft w:val="0"/>
      <w:marRight w:val="0"/>
      <w:marTop w:val="0"/>
      <w:marBottom w:val="0"/>
      <w:divBdr>
        <w:top w:val="none" w:sz="0" w:space="0" w:color="auto"/>
        <w:left w:val="none" w:sz="0" w:space="0" w:color="auto"/>
        <w:bottom w:val="none" w:sz="0" w:space="0" w:color="auto"/>
        <w:right w:val="none" w:sz="0" w:space="0" w:color="auto"/>
      </w:divBdr>
    </w:div>
    <w:div w:id="1663119883">
      <w:bodyDiv w:val="1"/>
      <w:marLeft w:val="0"/>
      <w:marRight w:val="0"/>
      <w:marTop w:val="0"/>
      <w:marBottom w:val="0"/>
      <w:divBdr>
        <w:top w:val="none" w:sz="0" w:space="0" w:color="auto"/>
        <w:left w:val="none" w:sz="0" w:space="0" w:color="auto"/>
        <w:bottom w:val="none" w:sz="0" w:space="0" w:color="auto"/>
        <w:right w:val="none" w:sz="0" w:space="0" w:color="auto"/>
      </w:divBdr>
    </w:div>
    <w:div w:id="1865318097">
      <w:bodyDiv w:val="1"/>
      <w:marLeft w:val="0"/>
      <w:marRight w:val="0"/>
      <w:marTop w:val="0"/>
      <w:marBottom w:val="0"/>
      <w:divBdr>
        <w:top w:val="none" w:sz="0" w:space="0" w:color="auto"/>
        <w:left w:val="none" w:sz="0" w:space="0" w:color="auto"/>
        <w:bottom w:val="none" w:sz="0" w:space="0" w:color="auto"/>
        <w:right w:val="none" w:sz="0" w:space="0" w:color="auto"/>
      </w:divBdr>
    </w:div>
    <w:div w:id="1985039408">
      <w:bodyDiv w:val="1"/>
      <w:marLeft w:val="0"/>
      <w:marRight w:val="0"/>
      <w:marTop w:val="0"/>
      <w:marBottom w:val="0"/>
      <w:divBdr>
        <w:top w:val="none" w:sz="0" w:space="0" w:color="auto"/>
        <w:left w:val="none" w:sz="0" w:space="0" w:color="auto"/>
        <w:bottom w:val="none" w:sz="0" w:space="0" w:color="auto"/>
        <w:right w:val="none" w:sz="0" w:space="0" w:color="auto"/>
      </w:divBdr>
    </w:div>
    <w:div w:id="2008089089">
      <w:bodyDiv w:val="1"/>
      <w:marLeft w:val="0"/>
      <w:marRight w:val="0"/>
      <w:marTop w:val="0"/>
      <w:marBottom w:val="0"/>
      <w:divBdr>
        <w:top w:val="none" w:sz="0" w:space="0" w:color="auto"/>
        <w:left w:val="none" w:sz="0" w:space="0" w:color="auto"/>
        <w:bottom w:val="none" w:sz="0" w:space="0" w:color="auto"/>
        <w:right w:val="none" w:sz="0" w:space="0" w:color="auto"/>
      </w:divBdr>
    </w:div>
    <w:div w:id="2093626284">
      <w:bodyDiv w:val="1"/>
      <w:marLeft w:val="0"/>
      <w:marRight w:val="0"/>
      <w:marTop w:val="0"/>
      <w:marBottom w:val="0"/>
      <w:divBdr>
        <w:top w:val="none" w:sz="0" w:space="0" w:color="auto"/>
        <w:left w:val="none" w:sz="0" w:space="0" w:color="auto"/>
        <w:bottom w:val="none" w:sz="0" w:space="0" w:color="auto"/>
        <w:right w:val="none" w:sz="0" w:space="0" w:color="auto"/>
      </w:divBdr>
    </w:div>
    <w:div w:id="210148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59F55E-CB23-4561-A835-6B314C2332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1353</TotalTime>
  <Pages>3</Pages>
  <Words>1310</Words>
  <Characters>6946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48</cp:revision>
  <cp:lastPrinted>2008-01-31T06:09:00Z</cp:lastPrinted>
  <dcterms:created xsi:type="dcterms:W3CDTF">2016-09-14T12:59:00Z</dcterms:created>
  <dcterms:modified xsi:type="dcterms:W3CDTF">2016-09-30T17:22:00Z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